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bCs/>
          <w:i/>
          <w:i/>
          <w:iCs/>
          <w:sz w:val="32"/>
          <w:szCs w:val="28"/>
        </w:rPr>
      </w:pPr>
      <w:r>
        <w:rPr>
          <w:rFonts w:eastAsia="Times New Roman" w:cs="Times New Roman"/>
          <w:b/>
          <w:bCs/>
          <w:sz w:val="28"/>
        </w:rPr>
        <w:t>ФЕДЕРАЛЬНАЯ НАЛОГОВАЯ СЛУЖБА</w:t>
      </w:r>
    </w:p>
    <w:p>
      <w:pPr>
        <w:pStyle w:val="Normal"/>
        <w:jc w:val="right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b/>
          <w:b/>
          <w:sz w:val="28"/>
        </w:rPr>
      </w:pPr>
      <w:r>
        <w:rPr>
          <w:b/>
          <w:sz w:val="28"/>
        </w:rPr>
        <w:t>РУКОВОДСТВО ПОЛЬЗОВАТЕЛЯ ВИДА СВЕДЕНИЯ В ЕДИНОЙ СИСТЕМЕ МЕЖВЕДОМСТВЕННОГО ЭЛЕКТРОННОГО ВЗАИМОДЕЙСТВИЯ</w:t>
      </w:r>
    </w:p>
    <w:p>
      <w:pPr>
        <w:pStyle w:val="Normal"/>
        <w:ind w:left="284" w:firstLine="567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«Сведения о банковских счетах резидентов – организаций, открытых в банках, расположенных за пределами территории Российской Федерации»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</w:rPr>
        <w:t>Дата</w:t>
      </w:r>
      <w:r>
        <w:rPr/>
        <w:t>: 28.06.2016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</w:rPr>
        <w:t>Версия</w:t>
      </w:r>
      <w:r>
        <w:rPr/>
        <w:t>: 1.0</w:t>
      </w:r>
    </w:p>
    <w:p>
      <w:pPr>
        <w:pStyle w:val="Normal"/>
        <w:rPr>
          <w:b/>
          <w:b/>
          <w:bCs/>
        </w:rPr>
      </w:pPr>
      <w:r>
        <w:rPr>
          <w:b/>
          <w:bCs/>
        </w:rPr>
      </w:r>
      <w:r>
        <w:br w:type="page"/>
      </w:r>
    </w:p>
    <w:p>
      <w:pPr>
        <w:pStyle w:val="Normal"/>
        <w:tabs>
          <w:tab w:val="right" w:pos="8973" w:leader="dot"/>
        </w:tabs>
        <w:spacing w:before="120" w:after="0"/>
        <w:ind w:right="23" w:hanging="0"/>
        <w:jc w:val="center"/>
        <w:rPr/>
      </w:pPr>
      <w:r>
        <w:rPr/>
        <w:t>ОГЛАВЛЕНИЕ</w:t>
      </w:r>
    </w:p>
    <w:p>
      <w:pPr>
        <w:pStyle w:val="12"/>
        <w:rPr>
          <w:rFonts w:ascii="Helvetica" w:hAnsi="Helvetica" w:eastAsia="Helvetica" w:cs="Helvetica" w:asciiTheme="minorHAnsi" w:cstheme="minorBidi" w:eastAsiaTheme="minorEastAsia" w:hAnsiTheme="minorHAnsi"/>
          <w:caps w:val="false"/>
          <w:smallCaps w:val="false"/>
          <w:color w:val="00000A"/>
          <w:sz w:val="22"/>
          <w:szCs w:val="22"/>
        </w:rPr>
      </w:pPr>
      <w:r>
        <w:fldChar w:fldCharType="begin"/>
      </w:r>
      <w:r>
        <w:rPr>
          <w:webHidden/>
          <w:rStyle w:val="Style13"/>
        </w:rPr>
        <w:instrText> TOC \z \o "1-3" \u \h</w:instrText>
      </w:r>
      <w:r>
        <w:rPr>
          <w:webHidden/>
          <w:rStyle w:val="Style13"/>
        </w:rPr>
        <w:fldChar w:fldCharType="separate"/>
      </w:r>
      <w:hyperlink w:anchor="_Toc452391209">
        <w:r>
          <w:rPr>
            <w:webHidden/>
            <w:rStyle w:val="Style13"/>
          </w:rPr>
          <w:t>1.</w:t>
        </w:r>
        <w:r>
          <w:rPr>
            <w:rStyle w:val="Style13"/>
            <w:rFonts w:eastAsia="Helvetica" w:cs="Helvetica" w:ascii="Helvetica" w:hAnsi="Helvetica" w:asciiTheme="minorHAnsi" w:cstheme="minorBidi" w:eastAsiaTheme="minorEastAsia" w:hAnsiTheme="minorHAnsi"/>
            <w:caps w:val="false"/>
            <w:smallCaps w:val="false"/>
            <w:color w:val="00000A"/>
            <w:sz w:val="22"/>
            <w:szCs w:val="22"/>
          </w:rPr>
          <w:tab/>
        </w:r>
        <w:r>
          <w:rPr>
            <w:rStyle w:val="Style13"/>
          </w:rPr>
          <w:t>ОБЩИЕ СВЕДЕНИЯ</w:t>
        </w:r>
        <w:r>
          <w:rPr>
            <w:webHidden/>
          </w:rPr>
          <w:fldChar w:fldCharType="begin"/>
        </w:r>
        <w:r>
          <w:rPr>
            <w:webHidden/>
          </w:rPr>
          <w:instrText>PAGEREF _Toc452391209 \h</w:instrText>
        </w:r>
        <w:r>
          <w:rPr>
            <w:webHidden/>
          </w:rPr>
          <w:fldChar w:fldCharType="separate"/>
        </w:r>
        <w:r>
          <w:rPr>
            <w:rStyle w:val="Style13"/>
            <w:vanish w:val="false"/>
          </w:rPr>
          <w:tab/>
          <w:t>4</w:t>
        </w:r>
        <w:r>
          <w:rPr>
            <w:webHidden/>
          </w:rPr>
          <w:fldChar w:fldCharType="end"/>
        </w:r>
      </w:hyperlink>
    </w:p>
    <w:p>
      <w:pPr>
        <w:pStyle w:val="22"/>
        <w:rPr>
          <w:rFonts w:ascii="Helvetica" w:hAnsi="Helvetica" w:eastAsia="Helvetica" w:cs="Helvetica" w:asciiTheme="minorHAnsi" w:cstheme="minorBidi" w:eastAsiaTheme="minorEastAsia" w:hAnsiTheme="minorHAnsi"/>
          <w:color w:val="00000A"/>
          <w:sz w:val="22"/>
          <w:szCs w:val="22"/>
        </w:rPr>
      </w:pPr>
      <w:hyperlink w:anchor="_Toc452391210">
        <w:r>
          <w:rPr>
            <w:webHidden/>
            <w:rStyle w:val="Style13"/>
          </w:rPr>
          <w:t>1.1.</w:t>
        </w:r>
        <w:r>
          <w:rPr>
            <w:rStyle w:val="Style13"/>
            <w:rFonts w:eastAsia="Helvetica" w:cs="Helvetica" w:ascii="Helvetica" w:hAnsi="Helvetica" w:asciiTheme="minorHAnsi" w:cstheme="minorBidi" w:eastAsiaTheme="minorEastAsia" w:hAnsiTheme="minorHAnsi"/>
            <w:color w:val="00000A"/>
            <w:sz w:val="22"/>
            <w:szCs w:val="22"/>
          </w:rPr>
          <w:tab/>
        </w:r>
        <w:r>
          <w:rPr>
            <w:rStyle w:val="Style13"/>
          </w:rPr>
          <w:t>Руководящие документы</w:t>
        </w:r>
        <w:r>
          <w:rPr>
            <w:webHidden/>
          </w:rPr>
          <w:fldChar w:fldCharType="begin"/>
        </w:r>
        <w:r>
          <w:rPr>
            <w:webHidden/>
          </w:rPr>
          <w:instrText>PAGEREF _Toc452391210 \h</w:instrText>
        </w:r>
        <w:r>
          <w:rPr>
            <w:webHidden/>
          </w:rPr>
          <w:fldChar w:fldCharType="separate"/>
        </w:r>
        <w:r>
          <w:rPr>
            <w:rStyle w:val="Style13"/>
            <w:vanish w:val="false"/>
          </w:rPr>
          <w:tab/>
          <w:t>4</w:t>
        </w:r>
        <w:r>
          <w:rPr>
            <w:webHidden/>
          </w:rPr>
          <w:fldChar w:fldCharType="end"/>
        </w:r>
      </w:hyperlink>
    </w:p>
    <w:p>
      <w:pPr>
        <w:pStyle w:val="22"/>
        <w:rPr>
          <w:rFonts w:ascii="Helvetica" w:hAnsi="Helvetica" w:eastAsia="Helvetica" w:cs="Helvetica" w:asciiTheme="minorHAnsi" w:cstheme="minorBidi" w:eastAsiaTheme="minorEastAsia" w:hAnsiTheme="minorHAnsi"/>
          <w:color w:val="00000A"/>
          <w:sz w:val="22"/>
          <w:szCs w:val="22"/>
        </w:rPr>
      </w:pPr>
      <w:hyperlink w:anchor="_Toc452391211">
        <w:r>
          <w:rPr>
            <w:webHidden/>
            <w:rStyle w:val="Style13"/>
          </w:rPr>
          <w:t>1.2.</w:t>
        </w:r>
        <w:r>
          <w:rPr>
            <w:rStyle w:val="Style13"/>
            <w:rFonts w:eastAsia="Helvetica" w:cs="Helvetica" w:ascii="Helvetica" w:hAnsi="Helvetica" w:asciiTheme="minorHAnsi" w:cstheme="minorBidi" w:eastAsiaTheme="minorEastAsia" w:hAnsiTheme="minorHAnsi"/>
            <w:color w:val="00000A"/>
            <w:sz w:val="22"/>
            <w:szCs w:val="22"/>
          </w:rPr>
          <w:tab/>
        </w:r>
        <w:r>
          <w:rPr>
            <w:rStyle w:val="Style13"/>
          </w:rPr>
          <w:t>Описание вида сведения</w:t>
        </w:r>
        <w:r>
          <w:rPr>
            <w:webHidden/>
          </w:rPr>
          <w:fldChar w:fldCharType="begin"/>
        </w:r>
        <w:r>
          <w:rPr>
            <w:webHidden/>
          </w:rPr>
          <w:instrText>PAGEREF _Toc452391211 \h</w:instrText>
        </w:r>
        <w:r>
          <w:rPr>
            <w:webHidden/>
          </w:rPr>
          <w:fldChar w:fldCharType="separate"/>
        </w:r>
        <w:r>
          <w:rPr>
            <w:rStyle w:val="Style13"/>
            <w:vanish w:val="false"/>
          </w:rPr>
          <w:tab/>
          <w:t>4</w:t>
        </w:r>
        <w:r>
          <w:rPr>
            <w:webHidden/>
          </w:rPr>
          <w:fldChar w:fldCharType="end"/>
        </w:r>
      </w:hyperlink>
    </w:p>
    <w:p>
      <w:pPr>
        <w:pStyle w:val="12"/>
        <w:rPr>
          <w:rFonts w:ascii="Helvetica" w:hAnsi="Helvetica" w:eastAsia="Helvetica" w:cs="Helvetica" w:asciiTheme="minorHAnsi" w:cstheme="minorBidi" w:eastAsiaTheme="minorEastAsia" w:hAnsiTheme="minorHAnsi"/>
          <w:caps w:val="false"/>
          <w:smallCaps w:val="false"/>
          <w:color w:val="00000A"/>
          <w:sz w:val="22"/>
          <w:szCs w:val="22"/>
        </w:rPr>
      </w:pPr>
      <w:hyperlink w:anchor="_Toc452391212">
        <w:r>
          <w:rPr>
            <w:webHidden/>
            <w:rStyle w:val="Style13"/>
          </w:rPr>
          <w:t>2.</w:t>
        </w:r>
        <w:r>
          <w:rPr>
            <w:rStyle w:val="Style13"/>
            <w:rFonts w:eastAsia="Helvetica" w:cs="Helvetica" w:ascii="Helvetica" w:hAnsi="Helvetica" w:asciiTheme="minorHAnsi" w:cstheme="minorBidi" w:eastAsiaTheme="minorEastAsia" w:hAnsiTheme="minorHAnsi"/>
            <w:caps w:val="false"/>
            <w:smallCaps w:val="false"/>
            <w:color w:val="00000A"/>
            <w:sz w:val="22"/>
            <w:szCs w:val="22"/>
          </w:rPr>
          <w:tab/>
        </w:r>
        <w:r>
          <w:rPr>
            <w:rStyle w:val="Style13"/>
          </w:rPr>
          <w:t>СХЕМА ВИДА СВЕДЕНИЙ И ЭТАЛОННЫЕ ЗАПРОСЫ И ОТВЕТЫ</w:t>
        </w:r>
        <w:r>
          <w:rPr>
            <w:webHidden/>
          </w:rPr>
          <w:fldChar w:fldCharType="begin"/>
        </w:r>
        <w:r>
          <w:rPr>
            <w:webHidden/>
          </w:rPr>
          <w:instrText>PAGEREF _Toc452391212 \h</w:instrText>
        </w:r>
        <w:r>
          <w:rPr>
            <w:webHidden/>
          </w:rPr>
          <w:fldChar w:fldCharType="separate"/>
        </w:r>
        <w:r>
          <w:rPr>
            <w:rStyle w:val="Style13"/>
            <w:vanish w:val="false"/>
          </w:rPr>
          <w:tab/>
          <w:t>5</w:t>
        </w:r>
        <w:r>
          <w:rPr>
            <w:webHidden/>
          </w:rPr>
          <w:fldChar w:fldCharType="end"/>
        </w:r>
      </w:hyperlink>
    </w:p>
    <w:p>
      <w:pPr>
        <w:pStyle w:val="22"/>
        <w:rPr>
          <w:rFonts w:ascii="Helvetica" w:hAnsi="Helvetica" w:eastAsia="Helvetica" w:cs="Helvetica" w:asciiTheme="minorHAnsi" w:cstheme="minorBidi" w:eastAsiaTheme="minorEastAsia" w:hAnsiTheme="minorHAnsi"/>
          <w:color w:val="00000A"/>
          <w:sz w:val="22"/>
          <w:szCs w:val="22"/>
        </w:rPr>
      </w:pPr>
      <w:hyperlink w:anchor="_Toc452391213">
        <w:r>
          <w:rPr>
            <w:webHidden/>
            <w:rStyle w:val="Style13"/>
          </w:rPr>
          <w:t>2.1.</w:t>
        </w:r>
        <w:r>
          <w:rPr>
            <w:rStyle w:val="Style13"/>
            <w:rFonts w:eastAsia="Helvetica" w:cs="Helvetica" w:ascii="Helvetica" w:hAnsi="Helvetica" w:asciiTheme="minorHAnsi" w:cstheme="minorBidi" w:eastAsiaTheme="minorEastAsia" w:hAnsiTheme="minorHAnsi"/>
            <w:color w:val="00000A"/>
            <w:sz w:val="22"/>
            <w:szCs w:val="22"/>
          </w:rPr>
          <w:tab/>
        </w:r>
        <w:r>
          <w:rPr>
            <w:rStyle w:val="Style13"/>
          </w:rPr>
          <w:t>Схема вида сведений</w:t>
        </w:r>
        <w:r>
          <w:rPr>
            <w:webHidden/>
          </w:rPr>
          <w:fldChar w:fldCharType="begin"/>
        </w:r>
        <w:r>
          <w:rPr>
            <w:webHidden/>
          </w:rPr>
          <w:instrText>PAGEREF _Toc452391213 \h</w:instrText>
        </w:r>
        <w:r>
          <w:rPr>
            <w:webHidden/>
          </w:rPr>
          <w:fldChar w:fldCharType="separate"/>
        </w:r>
        <w:r>
          <w:rPr>
            <w:rStyle w:val="Style13"/>
            <w:vanish w:val="false"/>
          </w:rPr>
          <w:tab/>
          <w:t>5</w:t>
        </w:r>
        <w:r>
          <w:rPr>
            <w:webHidden/>
          </w:rPr>
          <w:fldChar w:fldCharType="end"/>
        </w:r>
      </w:hyperlink>
    </w:p>
    <w:p>
      <w:pPr>
        <w:pStyle w:val="22"/>
        <w:rPr>
          <w:rFonts w:ascii="Helvetica" w:hAnsi="Helvetica" w:eastAsia="Helvetica" w:cs="Helvetica" w:asciiTheme="minorHAnsi" w:cstheme="minorBidi" w:eastAsiaTheme="minorEastAsia" w:hAnsiTheme="minorHAnsi"/>
          <w:color w:val="00000A"/>
          <w:sz w:val="22"/>
          <w:szCs w:val="22"/>
        </w:rPr>
      </w:pPr>
      <w:hyperlink w:anchor="_Toc452391214">
        <w:r>
          <w:rPr>
            <w:webHidden/>
            <w:rStyle w:val="Style13"/>
          </w:rPr>
          <w:t>2.2.</w:t>
        </w:r>
        <w:r>
          <w:rPr>
            <w:rStyle w:val="Style13"/>
            <w:rFonts w:eastAsia="Helvetica" w:cs="Helvetica" w:ascii="Helvetica" w:hAnsi="Helvetica" w:asciiTheme="minorHAnsi" w:cstheme="minorBidi" w:eastAsiaTheme="minorEastAsia" w:hAnsiTheme="minorHAnsi"/>
            <w:color w:val="00000A"/>
            <w:sz w:val="22"/>
            <w:szCs w:val="22"/>
          </w:rPr>
          <w:tab/>
        </w:r>
        <w:r>
          <w:rPr>
            <w:rStyle w:val="Style13"/>
          </w:rPr>
          <w:t>Эталонные запросы и ответы</w:t>
        </w:r>
        <w:r>
          <w:rPr>
            <w:webHidden/>
          </w:rPr>
          <w:fldChar w:fldCharType="begin"/>
        </w:r>
        <w:r>
          <w:rPr>
            <w:webHidden/>
          </w:rPr>
          <w:instrText>PAGEREF _Toc452391214 \h</w:instrText>
        </w:r>
        <w:r>
          <w:rPr>
            <w:webHidden/>
          </w:rPr>
          <w:fldChar w:fldCharType="separate"/>
        </w:r>
        <w:r>
          <w:rPr>
            <w:rStyle w:val="Style13"/>
            <w:vanish w:val="false"/>
          </w:rPr>
          <w:tab/>
          <w:t>10</w:t>
        </w:r>
        <w:r>
          <w:rPr>
            <w:webHidden/>
          </w:rPr>
          <w:fldChar w:fldCharType="end"/>
        </w:r>
      </w:hyperlink>
    </w:p>
    <w:p>
      <w:pPr>
        <w:pStyle w:val="12"/>
        <w:rPr>
          <w:rFonts w:ascii="Helvetica" w:hAnsi="Helvetica" w:eastAsia="Helvetica" w:cs="Helvetica" w:asciiTheme="minorHAnsi" w:cstheme="minorBidi" w:eastAsiaTheme="minorEastAsia" w:hAnsiTheme="minorHAnsi"/>
          <w:caps w:val="false"/>
          <w:smallCaps w:val="false"/>
          <w:color w:val="00000A"/>
          <w:sz w:val="22"/>
          <w:szCs w:val="22"/>
        </w:rPr>
      </w:pPr>
      <w:hyperlink w:anchor="_Toc452391215">
        <w:r>
          <w:rPr>
            <w:webHidden/>
            <w:rStyle w:val="Style13"/>
          </w:rPr>
          <w:t>3.</w:t>
        </w:r>
        <w:r>
          <w:rPr>
            <w:rStyle w:val="Style13"/>
            <w:rFonts w:eastAsia="Helvetica" w:cs="Helvetica" w:ascii="Helvetica" w:hAnsi="Helvetica" w:asciiTheme="minorHAnsi" w:cstheme="minorBidi" w:eastAsiaTheme="minorEastAsia" w:hAnsiTheme="minorHAnsi"/>
            <w:caps w:val="false"/>
            <w:smallCaps w:val="false"/>
            <w:color w:val="00000A"/>
            <w:sz w:val="22"/>
            <w:szCs w:val="22"/>
          </w:rPr>
          <w:tab/>
        </w:r>
        <w:r>
          <w:rPr>
            <w:rStyle w:val="Style13"/>
          </w:rPr>
          <w:t>ТЕСТОВЫЕ СЦЕНАРИИ И КОНТОРОЛЬНЫЕ ПРИМЕРЫ</w:t>
        </w:r>
        <w:r>
          <w:rPr>
            <w:webHidden/>
          </w:rPr>
          <w:fldChar w:fldCharType="begin"/>
        </w:r>
        <w:r>
          <w:rPr>
            <w:webHidden/>
          </w:rPr>
          <w:instrText>PAGEREF _Toc452391215 \h</w:instrText>
        </w:r>
        <w:r>
          <w:rPr>
            <w:webHidden/>
          </w:rPr>
          <w:fldChar w:fldCharType="separate"/>
        </w:r>
        <w:r>
          <w:rPr>
            <w:rStyle w:val="Style13"/>
            <w:vanish w:val="false"/>
          </w:rPr>
          <w:tab/>
          <w:t>13</w:t>
        </w:r>
        <w:r>
          <w:rPr>
            <w:webHidden/>
          </w:rPr>
          <w:fldChar w:fldCharType="end"/>
        </w:r>
      </w:hyperlink>
    </w:p>
    <w:p>
      <w:pPr>
        <w:pStyle w:val="22"/>
        <w:rPr>
          <w:rFonts w:ascii="Helvetica" w:hAnsi="Helvetica" w:eastAsia="Helvetica" w:cs="Helvetica" w:asciiTheme="minorHAnsi" w:cstheme="minorBidi" w:eastAsiaTheme="minorEastAsia" w:hAnsiTheme="minorHAnsi"/>
          <w:color w:val="00000A"/>
          <w:sz w:val="22"/>
          <w:szCs w:val="22"/>
        </w:rPr>
      </w:pPr>
      <w:hyperlink w:anchor="_Toc452391216">
        <w:r>
          <w:rPr>
            <w:webHidden/>
            <w:rStyle w:val="Style13"/>
          </w:rPr>
          <w:t>3.1.</w:t>
        </w:r>
        <w:r>
          <w:rPr>
            <w:rStyle w:val="Style13"/>
            <w:rFonts w:eastAsia="Helvetica" w:cs="Helvetica" w:ascii="Helvetica" w:hAnsi="Helvetica" w:asciiTheme="minorHAnsi" w:cstheme="minorBidi" w:eastAsiaTheme="minorEastAsia" w:hAnsiTheme="minorHAnsi"/>
            <w:color w:val="00000A"/>
            <w:sz w:val="22"/>
            <w:szCs w:val="22"/>
          </w:rPr>
          <w:tab/>
        </w:r>
        <w:r>
          <w:rPr>
            <w:rStyle w:val="Style13"/>
          </w:rPr>
          <w:t>Тестовые сценарии</w:t>
        </w:r>
        <w:r>
          <w:rPr>
            <w:webHidden/>
          </w:rPr>
          <w:fldChar w:fldCharType="begin"/>
        </w:r>
        <w:r>
          <w:rPr>
            <w:webHidden/>
          </w:rPr>
          <w:instrText>PAGEREF _Toc452391216 \h</w:instrText>
        </w:r>
        <w:r>
          <w:rPr>
            <w:webHidden/>
          </w:rPr>
          <w:fldChar w:fldCharType="separate"/>
        </w:r>
        <w:r>
          <w:rPr>
            <w:rStyle w:val="Style13"/>
            <w:vanish w:val="false"/>
          </w:rPr>
          <w:tab/>
          <w:t>13</w:t>
        </w:r>
        <w:r>
          <w:rPr>
            <w:webHidden/>
          </w:rPr>
          <w:fldChar w:fldCharType="end"/>
        </w:r>
      </w:hyperlink>
    </w:p>
    <w:p>
      <w:pPr>
        <w:pStyle w:val="32"/>
        <w:rPr>
          <w:rFonts w:ascii="Helvetica" w:hAnsi="Helvetica" w:eastAsia="Helvetica" w:cs="Helvetica" w:asciiTheme="minorHAnsi" w:cstheme="minorBidi" w:eastAsiaTheme="minorEastAsia" w:hAnsiTheme="minorHAnsi"/>
          <w:color w:val="00000A"/>
          <w:sz w:val="22"/>
          <w:szCs w:val="22"/>
        </w:rPr>
      </w:pPr>
      <w:hyperlink w:anchor="_Toc452391217">
        <w:r>
          <w:rPr>
            <w:webHidden/>
            <w:rStyle w:val="Style13"/>
          </w:rPr>
          <w:t>3.1.1.</w:t>
        </w:r>
        <w:r>
          <w:rPr>
            <w:rStyle w:val="Style13"/>
            <w:rFonts w:eastAsia="Helvetica" w:cs="Helvetica" w:ascii="Helvetica" w:hAnsi="Helvetica" w:asciiTheme="minorHAnsi" w:cstheme="minorBidi" w:eastAsiaTheme="minorEastAsia" w:hAnsiTheme="minorHAnsi"/>
            <w:color w:val="00000A"/>
            <w:sz w:val="22"/>
            <w:szCs w:val="22"/>
          </w:rPr>
          <w:tab/>
        </w:r>
        <w:r>
          <w:rPr>
            <w:rStyle w:val="Style13"/>
          </w:rPr>
          <w:t>Сценарий 1: Размещение запроса на предоставление сведений о банковских счетах резидентов – организаций, открытых в банках, расположенных за пределами территории Российской Федерации и успешное получение сведений</w:t>
        </w:r>
        <w:r>
          <w:rPr>
            <w:webHidden/>
          </w:rPr>
          <w:fldChar w:fldCharType="begin"/>
        </w:r>
        <w:r>
          <w:rPr>
            <w:webHidden/>
          </w:rPr>
          <w:instrText>PAGEREF _Toc452391217 \h</w:instrText>
        </w:r>
        <w:r>
          <w:rPr>
            <w:webHidden/>
          </w:rPr>
          <w:fldChar w:fldCharType="separate"/>
        </w:r>
        <w:r>
          <w:rPr>
            <w:rStyle w:val="Style13"/>
            <w:vanish w:val="false"/>
          </w:rPr>
          <w:tab/>
          <w:t>13</w:t>
        </w:r>
        <w:r>
          <w:rPr>
            <w:webHidden/>
          </w:rPr>
          <w:fldChar w:fldCharType="end"/>
        </w:r>
      </w:hyperlink>
    </w:p>
    <w:p>
      <w:pPr>
        <w:pStyle w:val="32"/>
        <w:rPr>
          <w:rFonts w:ascii="Helvetica" w:hAnsi="Helvetica" w:eastAsia="Helvetica" w:cs="Helvetica" w:asciiTheme="minorHAnsi" w:cstheme="minorBidi" w:eastAsiaTheme="minorEastAsia" w:hAnsiTheme="minorHAnsi"/>
          <w:color w:val="00000A"/>
          <w:sz w:val="22"/>
          <w:szCs w:val="22"/>
        </w:rPr>
      </w:pPr>
      <w:hyperlink w:anchor="_Toc452391218">
        <w:r>
          <w:rPr>
            <w:webHidden/>
            <w:rStyle w:val="Style13"/>
          </w:rPr>
          <w:t>3.1.2.</w:t>
        </w:r>
        <w:r>
          <w:rPr>
            <w:rStyle w:val="Style13"/>
            <w:rFonts w:eastAsia="Helvetica" w:cs="Helvetica" w:ascii="Helvetica" w:hAnsi="Helvetica" w:asciiTheme="minorHAnsi" w:cstheme="minorBidi" w:eastAsiaTheme="minorEastAsia" w:hAnsiTheme="minorHAnsi"/>
            <w:color w:val="00000A"/>
            <w:sz w:val="22"/>
            <w:szCs w:val="22"/>
          </w:rPr>
          <w:tab/>
        </w:r>
        <w:r>
          <w:rPr>
            <w:rStyle w:val="Style13"/>
          </w:rPr>
          <w:t>Сценарий 2: Размещение запроса на предоставление сведений о банковских счетах резидентов – организаций, открытых в банках, расположенных за пределами территории Российской Федерации с некорректной датой открытия счета</w:t>
        </w:r>
        <w:r>
          <w:rPr>
            <w:webHidden/>
          </w:rPr>
          <w:fldChar w:fldCharType="begin"/>
        </w:r>
        <w:r>
          <w:rPr>
            <w:webHidden/>
          </w:rPr>
          <w:instrText>PAGEREF _Toc452391218 \h</w:instrText>
        </w:r>
        <w:r>
          <w:rPr>
            <w:webHidden/>
          </w:rPr>
          <w:fldChar w:fldCharType="separate"/>
        </w:r>
        <w:r>
          <w:rPr>
            <w:rStyle w:val="Style13"/>
            <w:vanish w:val="false"/>
          </w:rPr>
          <w:tab/>
          <w:t>14</w:t>
        </w:r>
        <w:r>
          <w:rPr>
            <w:webHidden/>
          </w:rPr>
          <w:fldChar w:fldCharType="end"/>
        </w:r>
      </w:hyperlink>
    </w:p>
    <w:p>
      <w:pPr>
        <w:pStyle w:val="32"/>
        <w:rPr>
          <w:rFonts w:ascii="Helvetica" w:hAnsi="Helvetica" w:eastAsia="Helvetica" w:cs="Helvetica" w:asciiTheme="minorHAnsi" w:cstheme="minorBidi" w:eastAsiaTheme="minorEastAsia" w:hAnsiTheme="minorHAnsi"/>
          <w:color w:val="00000A"/>
          <w:sz w:val="22"/>
          <w:szCs w:val="22"/>
        </w:rPr>
      </w:pPr>
      <w:hyperlink w:anchor="_Toc452391219">
        <w:r>
          <w:rPr>
            <w:webHidden/>
            <w:rStyle w:val="Style13"/>
          </w:rPr>
          <w:t>3.1.3.</w:t>
        </w:r>
        <w:r>
          <w:rPr>
            <w:rStyle w:val="Style13"/>
            <w:rFonts w:eastAsia="Helvetica" w:cs="Helvetica" w:ascii="Helvetica" w:hAnsi="Helvetica" w:asciiTheme="minorHAnsi" w:cstheme="minorBidi" w:eastAsiaTheme="minorEastAsia" w:hAnsiTheme="minorHAnsi"/>
            <w:color w:val="00000A"/>
            <w:sz w:val="22"/>
            <w:szCs w:val="22"/>
          </w:rPr>
          <w:tab/>
        </w:r>
        <w:r>
          <w:rPr>
            <w:rStyle w:val="Style13"/>
          </w:rPr>
          <w:t>Сценарий 3: Размещение запроса на предоставление сведений о банковских счетах резидентов – организаций, открытых в банках, расположенных за пределами территории Российской Федерации c неверным контрольным разрядом ИНН</w:t>
        </w:r>
        <w:r>
          <w:rPr>
            <w:webHidden/>
          </w:rPr>
          <w:fldChar w:fldCharType="begin"/>
        </w:r>
        <w:r>
          <w:rPr>
            <w:webHidden/>
          </w:rPr>
          <w:instrText>PAGEREF _Toc452391219 \h</w:instrText>
        </w:r>
        <w:r>
          <w:rPr>
            <w:webHidden/>
          </w:rPr>
          <w:fldChar w:fldCharType="separate"/>
        </w:r>
        <w:r>
          <w:rPr>
            <w:rStyle w:val="Style13"/>
            <w:vanish w:val="false"/>
          </w:rPr>
          <w:tab/>
          <w:t>15</w:t>
        </w:r>
        <w:r>
          <w:rPr>
            <w:webHidden/>
          </w:rPr>
          <w:fldChar w:fldCharType="end"/>
        </w:r>
      </w:hyperlink>
    </w:p>
    <w:p>
      <w:pPr>
        <w:pStyle w:val="12"/>
        <w:rPr>
          <w:rFonts w:ascii="Helvetica" w:hAnsi="Helvetica" w:eastAsia="Helvetica" w:cs="Helvetica" w:asciiTheme="minorHAnsi" w:cstheme="minorBidi" w:eastAsiaTheme="minorEastAsia" w:hAnsiTheme="minorHAnsi"/>
          <w:caps w:val="false"/>
          <w:smallCaps w:val="false"/>
          <w:color w:val="00000A"/>
          <w:sz w:val="22"/>
          <w:szCs w:val="22"/>
        </w:rPr>
      </w:pPr>
      <w:hyperlink w:anchor="_Toc452391220">
        <w:r>
          <w:rPr>
            <w:webHidden/>
            <w:rStyle w:val="Style13"/>
          </w:rPr>
          <w:t>4.</w:t>
        </w:r>
        <w:r>
          <w:rPr>
            <w:rStyle w:val="Style13"/>
            <w:rFonts w:eastAsia="Helvetica" w:cs="Helvetica" w:ascii="Helvetica" w:hAnsi="Helvetica" w:asciiTheme="minorHAnsi" w:cstheme="minorBidi" w:eastAsiaTheme="minorEastAsia" w:hAnsiTheme="minorHAnsi"/>
            <w:caps w:val="false"/>
            <w:smallCaps w:val="false"/>
            <w:color w:val="00000A"/>
            <w:sz w:val="22"/>
            <w:szCs w:val="22"/>
          </w:rPr>
          <w:tab/>
        </w:r>
        <w:r>
          <w:rPr>
            <w:rStyle w:val="Style13"/>
          </w:rPr>
          <w:t>СОСТАВ ПЕРЕДАВАЕМОЙ ИНФОРМАЦИИ</w:t>
        </w:r>
        <w:r>
          <w:rPr>
            <w:webHidden/>
          </w:rPr>
          <w:fldChar w:fldCharType="begin"/>
        </w:r>
        <w:r>
          <w:rPr>
            <w:webHidden/>
          </w:rPr>
          <w:instrText>PAGEREF _Toc452391220 \h</w:instrText>
        </w:r>
        <w:r>
          <w:rPr>
            <w:webHidden/>
          </w:rPr>
          <w:fldChar w:fldCharType="separate"/>
        </w:r>
        <w:r>
          <w:rPr>
            <w:rStyle w:val="Style13"/>
            <w:vanish w:val="false"/>
          </w:rPr>
          <w:tab/>
          <w:t>16</w:t>
        </w:r>
        <w:r>
          <w:rPr>
            <w:webHidden/>
          </w:rPr>
          <w:fldChar w:fldCharType="end"/>
        </w:r>
      </w:hyperlink>
    </w:p>
    <w:p>
      <w:pPr>
        <w:pStyle w:val="22"/>
        <w:rPr>
          <w:rFonts w:ascii="Helvetica" w:hAnsi="Helvetica" w:eastAsia="Helvetica" w:cs="Helvetica" w:asciiTheme="minorHAnsi" w:cstheme="minorBidi" w:eastAsiaTheme="minorEastAsia" w:hAnsiTheme="minorHAnsi"/>
          <w:color w:val="00000A"/>
          <w:sz w:val="22"/>
          <w:szCs w:val="22"/>
        </w:rPr>
      </w:pPr>
      <w:hyperlink w:anchor="_Toc452391221">
        <w:r>
          <w:rPr>
            <w:webHidden/>
            <w:rStyle w:val="Style13"/>
          </w:rPr>
          <w:t>4.1.</w:t>
        </w:r>
        <w:r>
          <w:rPr>
            <w:rStyle w:val="Style13"/>
            <w:rFonts w:eastAsia="Helvetica" w:cs="Helvetica" w:ascii="Helvetica" w:hAnsi="Helvetica" w:asciiTheme="minorHAnsi" w:cstheme="minorBidi" w:eastAsiaTheme="minorEastAsia" w:hAnsiTheme="minorHAnsi"/>
            <w:color w:val="00000A"/>
            <w:sz w:val="22"/>
            <w:szCs w:val="22"/>
          </w:rPr>
          <w:tab/>
        </w:r>
        <w:r>
          <w:rPr>
            <w:rStyle w:val="Style13"/>
            <w:rFonts w:eastAsia="Helvetica" w:cs="Helvetica" w:cstheme="majorBidi" w:eastAsiaTheme="majorEastAsia"/>
          </w:rPr>
          <w:t>Описание</w:t>
        </w:r>
        <w:r>
          <w:rPr>
            <w:rStyle w:val="Style13"/>
            <w:rFonts w:eastAsia="Arial Unicode MS"/>
          </w:rPr>
          <w:t xml:space="preserve"> полей запроса</w:t>
        </w:r>
        <w:r>
          <w:rPr>
            <w:webHidden/>
          </w:rPr>
          <w:fldChar w:fldCharType="begin"/>
        </w:r>
        <w:r>
          <w:rPr>
            <w:webHidden/>
          </w:rPr>
          <w:instrText>PAGEREF _Toc452391221 \h</w:instrText>
        </w:r>
        <w:r>
          <w:rPr>
            <w:webHidden/>
          </w:rPr>
          <w:fldChar w:fldCharType="separate"/>
        </w:r>
        <w:r>
          <w:rPr>
            <w:rStyle w:val="Style13"/>
            <w:vanish w:val="false"/>
          </w:rPr>
          <w:tab/>
          <w:t>16</w:t>
        </w:r>
        <w:r>
          <w:rPr>
            <w:webHidden/>
          </w:rPr>
          <w:fldChar w:fldCharType="end"/>
        </w:r>
      </w:hyperlink>
    </w:p>
    <w:p>
      <w:pPr>
        <w:pStyle w:val="22"/>
        <w:rPr>
          <w:rFonts w:ascii="Helvetica" w:hAnsi="Helvetica" w:eastAsia="Helvetica" w:cs="Helvetica" w:asciiTheme="minorHAnsi" w:cstheme="minorBidi" w:eastAsiaTheme="minorEastAsia" w:hAnsiTheme="minorHAnsi"/>
          <w:color w:val="00000A"/>
          <w:sz w:val="22"/>
          <w:szCs w:val="22"/>
        </w:rPr>
      </w:pPr>
      <w:hyperlink w:anchor="_Toc452391222">
        <w:r>
          <w:rPr>
            <w:webHidden/>
            <w:rStyle w:val="Style13"/>
          </w:rPr>
          <w:t>4.2.</w:t>
        </w:r>
        <w:r>
          <w:rPr>
            <w:rStyle w:val="Style13"/>
            <w:rFonts w:eastAsia="Helvetica" w:cs="Helvetica" w:ascii="Helvetica" w:hAnsi="Helvetica" w:asciiTheme="minorHAnsi" w:cstheme="minorBidi" w:eastAsiaTheme="minorEastAsia" w:hAnsiTheme="minorHAnsi"/>
            <w:color w:val="00000A"/>
            <w:sz w:val="22"/>
            <w:szCs w:val="22"/>
          </w:rPr>
          <w:tab/>
        </w:r>
        <w:r>
          <w:rPr>
            <w:rStyle w:val="Style13"/>
            <w:rFonts w:eastAsia="Helvetica" w:eastAsiaTheme="majorEastAsia"/>
          </w:rPr>
          <w:t>Описание</w:t>
        </w:r>
        <w:r>
          <w:rPr>
            <w:rStyle w:val="Style13"/>
            <w:rFonts w:eastAsia="Arial Unicode MS"/>
          </w:rPr>
          <w:t xml:space="preserve"> полей ответа на запрос</w:t>
        </w:r>
        <w:r>
          <w:rPr>
            <w:webHidden/>
          </w:rPr>
          <w:fldChar w:fldCharType="begin"/>
        </w:r>
        <w:r>
          <w:rPr>
            <w:webHidden/>
          </w:rPr>
          <w:instrText>PAGEREF _Toc452391222 \h</w:instrText>
        </w:r>
        <w:r>
          <w:rPr>
            <w:webHidden/>
          </w:rPr>
          <w:fldChar w:fldCharType="separate"/>
        </w:r>
        <w:r>
          <w:rPr>
            <w:rStyle w:val="Style13"/>
            <w:vanish w:val="false"/>
          </w:rPr>
          <w:tab/>
          <w:t>16</w:t>
        </w:r>
        <w:r>
          <w:rPr>
            <w:webHidden/>
          </w:rPr>
          <w:fldChar w:fldCharType="end"/>
        </w:r>
      </w:hyperlink>
    </w:p>
    <w:p>
      <w:pPr>
        <w:pStyle w:val="22"/>
        <w:rPr>
          <w:rFonts w:ascii="Helvetica" w:hAnsi="Helvetica" w:eastAsia="Helvetica" w:cs="Helvetica" w:asciiTheme="minorHAnsi" w:cstheme="minorBidi" w:eastAsiaTheme="minorEastAsia" w:hAnsiTheme="minorHAnsi"/>
          <w:color w:val="00000A"/>
          <w:sz w:val="22"/>
          <w:szCs w:val="22"/>
        </w:rPr>
      </w:pPr>
      <w:hyperlink w:anchor="_Toc452391223">
        <w:r>
          <w:rPr>
            <w:webHidden/>
            <w:rStyle w:val="Style13"/>
            <w:rFonts w:eastAsia="Arial Unicode MS"/>
          </w:rPr>
          <w:t>4.3.</w:t>
        </w:r>
        <w:r>
          <w:rPr>
            <w:rStyle w:val="Style13"/>
            <w:rFonts w:eastAsia="Helvetica" w:cs="Helvetica" w:ascii="Helvetica" w:hAnsi="Helvetica" w:asciiTheme="minorHAnsi" w:cstheme="minorBidi" w:eastAsiaTheme="minorEastAsia" w:hAnsiTheme="minorHAnsi"/>
            <w:color w:val="00000A"/>
            <w:sz w:val="22"/>
            <w:szCs w:val="22"/>
          </w:rPr>
          <w:tab/>
        </w:r>
        <w:r>
          <w:rPr>
            <w:rStyle w:val="Style13"/>
            <w:rFonts w:eastAsia="Helvetica" w:eastAsiaTheme="majorEastAsia"/>
          </w:rPr>
          <w:t>Описание</w:t>
        </w:r>
        <w:r>
          <w:rPr>
            <w:rStyle w:val="Style13"/>
            <w:rFonts w:eastAsia="Arial Unicode MS"/>
          </w:rPr>
          <w:t xml:space="preserve"> комплексных типов полей (при наличии)</w:t>
        </w:r>
        <w:r>
          <w:rPr>
            <w:webHidden/>
          </w:rPr>
          <w:fldChar w:fldCharType="begin"/>
        </w:r>
        <w:r>
          <w:rPr>
            <w:webHidden/>
          </w:rPr>
          <w:instrText>PAGEREF _Toc452391223 \h</w:instrText>
        </w:r>
        <w:r>
          <w:rPr>
            <w:webHidden/>
          </w:rPr>
          <w:fldChar w:fldCharType="separate"/>
        </w:r>
        <w:r>
          <w:rPr>
            <w:rStyle w:val="Style13"/>
            <w:vanish w:val="false"/>
          </w:rPr>
          <w:tab/>
          <w:t>17</w:t>
        </w:r>
        <w:r>
          <w:rPr>
            <w:webHidden/>
          </w:rPr>
          <w:fldChar w:fldCharType="end"/>
        </w:r>
      </w:hyperlink>
    </w:p>
    <w:p>
      <w:pPr>
        <w:pStyle w:val="22"/>
        <w:rPr>
          <w:rFonts w:ascii="Helvetica" w:hAnsi="Helvetica" w:eastAsia="Helvetica" w:cs="Helvetica" w:asciiTheme="minorHAnsi" w:cstheme="minorBidi" w:eastAsiaTheme="minorEastAsia" w:hAnsiTheme="minorHAnsi"/>
          <w:color w:val="00000A"/>
          <w:sz w:val="22"/>
          <w:szCs w:val="22"/>
        </w:rPr>
      </w:pPr>
      <w:hyperlink w:anchor="_Toc452391224">
        <w:r>
          <w:rPr>
            <w:webHidden/>
            <w:rStyle w:val="Style13"/>
            <w:rFonts w:eastAsia="Arial Unicode MS"/>
          </w:rPr>
          <w:t>4.4.</w:t>
        </w:r>
        <w:r>
          <w:rPr>
            <w:rStyle w:val="Style13"/>
            <w:rFonts w:eastAsia="Helvetica" w:cs="Helvetica" w:ascii="Helvetica" w:hAnsi="Helvetica" w:asciiTheme="minorHAnsi" w:cstheme="minorBidi" w:eastAsiaTheme="minorEastAsia" w:hAnsiTheme="minorHAnsi"/>
            <w:color w:val="00000A"/>
            <w:sz w:val="22"/>
            <w:szCs w:val="22"/>
          </w:rPr>
          <w:tab/>
        </w:r>
        <w:r>
          <w:rPr>
            <w:rStyle w:val="Style13"/>
            <w:rFonts w:eastAsia="Arial Unicode MS"/>
          </w:rPr>
          <w:t xml:space="preserve">Описание </w:t>
        </w:r>
        <w:r>
          <w:rPr>
            <w:rStyle w:val="Style13"/>
            <w:rFonts w:eastAsia="Helvetica" w:eastAsiaTheme="majorEastAsia"/>
          </w:rPr>
          <w:t>проверок</w:t>
        </w:r>
        <w:r>
          <w:rPr>
            <w:rStyle w:val="Style13"/>
            <w:rFonts w:eastAsia="Arial Unicode MS"/>
          </w:rPr>
          <w:t xml:space="preserve"> запроса на стороне поставщика</w:t>
        </w:r>
        <w:r>
          <w:rPr>
            <w:webHidden/>
          </w:rPr>
          <w:fldChar w:fldCharType="begin"/>
        </w:r>
        <w:r>
          <w:rPr>
            <w:webHidden/>
          </w:rPr>
          <w:instrText>PAGEREF _Toc452391224 \h</w:instrText>
        </w:r>
        <w:r>
          <w:rPr>
            <w:webHidden/>
          </w:rPr>
          <w:fldChar w:fldCharType="separate"/>
        </w:r>
        <w:r>
          <w:rPr>
            <w:rStyle w:val="Style13"/>
            <w:vanish w:val="false"/>
          </w:rPr>
          <w:tab/>
          <w:t>18</w:t>
        </w:r>
        <w:r>
          <w:rPr>
            <w:webHidden/>
          </w:rPr>
          <w:fldChar w:fldCharType="end"/>
        </w:r>
      </w:hyperlink>
    </w:p>
    <w:p>
      <w:pPr>
        <w:pStyle w:val="22"/>
        <w:rPr>
          <w:rFonts w:ascii="Helvetica" w:hAnsi="Helvetica" w:eastAsia="Helvetica" w:cs="Helvetica" w:asciiTheme="minorHAnsi" w:cstheme="minorBidi" w:eastAsiaTheme="minorEastAsia" w:hAnsiTheme="minorHAnsi"/>
          <w:color w:val="00000A"/>
          <w:sz w:val="22"/>
          <w:szCs w:val="22"/>
        </w:rPr>
      </w:pPr>
      <w:hyperlink w:anchor="_Toc452391225">
        <w:r>
          <w:rPr>
            <w:webHidden/>
            <w:rStyle w:val="Style13"/>
            <w:rFonts w:eastAsia="Arial Unicode MS"/>
          </w:rPr>
          <w:t>4.5.</w:t>
        </w:r>
        <w:r>
          <w:rPr>
            <w:rStyle w:val="Style13"/>
            <w:rFonts w:eastAsia="Helvetica" w:cs="Helvetica" w:ascii="Helvetica" w:hAnsi="Helvetica" w:asciiTheme="minorHAnsi" w:cstheme="minorBidi" w:eastAsiaTheme="minorEastAsia" w:hAnsiTheme="minorHAnsi"/>
            <w:color w:val="00000A"/>
            <w:sz w:val="22"/>
            <w:szCs w:val="22"/>
          </w:rPr>
          <w:tab/>
        </w:r>
        <w:r>
          <w:rPr>
            <w:rStyle w:val="Style13"/>
            <w:rFonts w:eastAsia="Arial Unicode MS"/>
          </w:rPr>
          <w:t>Описание кодов возвратов при ошибках и неуспешных проверках</w:t>
        </w:r>
        <w:r>
          <w:rPr>
            <w:webHidden/>
          </w:rPr>
          <w:fldChar w:fldCharType="begin"/>
        </w:r>
        <w:r>
          <w:rPr>
            <w:webHidden/>
          </w:rPr>
          <w:instrText>PAGEREF _Toc452391225 \h</w:instrText>
        </w:r>
        <w:r>
          <w:rPr>
            <w:webHidden/>
          </w:rPr>
          <w:fldChar w:fldCharType="separate"/>
        </w:r>
        <w:r>
          <w:rPr>
            <w:rStyle w:val="Style13"/>
            <w:vanish w:val="false"/>
          </w:rPr>
          <w:tab/>
          <w:t>19</w:t>
        </w:r>
        <w:r>
          <w:rPr>
            <w:webHidden/>
          </w:rPr>
          <w:fldChar w:fldCharType="end"/>
        </w:r>
      </w:hyperlink>
    </w:p>
    <w:p>
      <w:pPr>
        <w:pStyle w:val="22"/>
        <w:rPr>
          <w:rFonts w:ascii="Helvetica" w:hAnsi="Helvetica" w:eastAsia="Helvetica" w:cs="Helvetica" w:asciiTheme="minorHAnsi" w:cstheme="minorBidi" w:eastAsiaTheme="minorEastAsia" w:hAnsiTheme="minorHAnsi"/>
          <w:color w:val="00000A"/>
          <w:sz w:val="22"/>
          <w:szCs w:val="22"/>
        </w:rPr>
      </w:pPr>
      <w:hyperlink w:anchor="_Toc452391226">
        <w:r>
          <w:rPr>
            <w:webHidden/>
            <w:rStyle w:val="Style13"/>
            <w:rFonts w:eastAsia="Arial Unicode MS"/>
          </w:rPr>
          <w:t>4.6.</w:t>
        </w:r>
        <w:r>
          <w:rPr>
            <w:rStyle w:val="Style13"/>
            <w:rFonts w:eastAsia="Helvetica" w:cs="Helvetica" w:ascii="Helvetica" w:hAnsi="Helvetica" w:asciiTheme="minorHAnsi" w:cstheme="minorBidi" w:eastAsiaTheme="minorEastAsia" w:hAnsiTheme="minorHAnsi"/>
            <w:color w:val="00000A"/>
            <w:sz w:val="22"/>
            <w:szCs w:val="22"/>
          </w:rPr>
          <w:tab/>
        </w:r>
        <w:r>
          <w:rPr>
            <w:rStyle w:val="Style13"/>
            <w:rFonts w:eastAsia="Arial Unicode MS"/>
          </w:rPr>
          <w:t>Описание вложений</w:t>
        </w:r>
        <w:r>
          <w:rPr>
            <w:webHidden/>
          </w:rPr>
          <w:fldChar w:fldCharType="begin"/>
        </w:r>
        <w:r>
          <w:rPr>
            <w:webHidden/>
          </w:rPr>
          <w:instrText>PAGEREF _Toc452391226 \h</w:instrText>
        </w:r>
        <w:r>
          <w:rPr>
            <w:webHidden/>
          </w:rPr>
          <w:fldChar w:fldCharType="separate"/>
        </w:r>
        <w:r>
          <w:rPr>
            <w:rStyle w:val="Style13"/>
            <w:vanish w:val="false"/>
          </w:rPr>
          <w:tab/>
          <w:t>20</w:t>
        </w:r>
        <w:r>
          <w:rPr>
            <w:webHidden/>
          </w:rPr>
          <w:fldChar w:fldCharType="end"/>
        </w:r>
      </w:hyperlink>
    </w:p>
    <w:p>
      <w:pPr>
        <w:pStyle w:val="12"/>
        <w:rPr>
          <w:rFonts w:ascii="Helvetica" w:hAnsi="Helvetica" w:eastAsia="Helvetica" w:cs="Helvetica" w:asciiTheme="minorHAnsi" w:cstheme="minorBidi" w:eastAsiaTheme="minorEastAsia" w:hAnsiTheme="minorHAnsi"/>
          <w:caps w:val="false"/>
          <w:smallCaps w:val="false"/>
          <w:color w:val="00000A"/>
          <w:sz w:val="22"/>
          <w:szCs w:val="22"/>
        </w:rPr>
      </w:pPr>
      <w:hyperlink w:anchor="_Toc452391227">
        <w:r>
          <w:rPr>
            <w:webHidden/>
            <w:rStyle w:val="Style13"/>
          </w:rPr>
          <w:t>5.</w:t>
        </w:r>
        <w:r>
          <w:rPr>
            <w:rStyle w:val="Style13"/>
            <w:rFonts w:eastAsia="Helvetica" w:cs="Helvetica" w:ascii="Helvetica" w:hAnsi="Helvetica" w:asciiTheme="minorHAnsi" w:cstheme="minorBidi" w:eastAsiaTheme="minorEastAsia" w:hAnsiTheme="minorHAnsi"/>
            <w:caps w:val="false"/>
            <w:smallCaps w:val="false"/>
            <w:color w:val="00000A"/>
            <w:sz w:val="22"/>
            <w:szCs w:val="22"/>
          </w:rPr>
          <w:tab/>
        </w:r>
        <w:r>
          <w:rPr>
            <w:rStyle w:val="Style13"/>
          </w:rPr>
          <w:t>ДОПОЛНИТЕЛЬНАЯ ИНФОРМАЦИЯ</w:t>
        </w:r>
        <w:r>
          <w:rPr>
            <w:webHidden/>
          </w:rPr>
          <w:fldChar w:fldCharType="begin"/>
        </w:r>
        <w:r>
          <w:rPr>
            <w:webHidden/>
          </w:rPr>
          <w:instrText>PAGEREF _Toc452391227 \h</w:instrText>
        </w:r>
        <w:r>
          <w:rPr>
            <w:webHidden/>
          </w:rPr>
          <w:fldChar w:fldCharType="separate"/>
        </w:r>
        <w:r>
          <w:rPr>
            <w:rStyle w:val="Style13"/>
            <w:vanish w:val="false"/>
          </w:rPr>
          <w:tab/>
          <w:t>21</w:t>
        </w:r>
        <w:r>
          <w:rPr>
            <w:webHidden/>
          </w:rPr>
          <w:fldChar w:fldCharType="end"/>
        </w:r>
      </w:hyperlink>
    </w:p>
    <w:p>
      <w:pPr>
        <w:pStyle w:val="22"/>
        <w:rPr>
          <w:rFonts w:ascii="Helvetica" w:hAnsi="Helvetica" w:eastAsia="Helvetica" w:cs="Helvetica" w:asciiTheme="minorHAnsi" w:cstheme="minorBidi" w:eastAsiaTheme="minorEastAsia" w:hAnsiTheme="minorHAnsi"/>
          <w:color w:val="00000A"/>
          <w:sz w:val="22"/>
          <w:szCs w:val="22"/>
        </w:rPr>
      </w:pPr>
      <w:hyperlink w:anchor="_Toc452391228">
        <w:r>
          <w:rPr>
            <w:webHidden/>
            <w:rStyle w:val="Style13"/>
          </w:rPr>
          <w:t>5.1.</w:t>
        </w:r>
        <w:r>
          <w:rPr>
            <w:rStyle w:val="Style13"/>
            <w:rFonts w:eastAsia="Helvetica" w:cs="Helvetica" w:ascii="Helvetica" w:hAnsi="Helvetica" w:asciiTheme="minorHAnsi" w:cstheme="minorBidi" w:eastAsiaTheme="minorEastAsia" w:hAnsiTheme="minorHAnsi"/>
            <w:color w:val="00000A"/>
            <w:sz w:val="22"/>
            <w:szCs w:val="22"/>
          </w:rPr>
          <w:tab/>
        </w:r>
        <w:r>
          <w:rPr>
            <w:rStyle w:val="Style13"/>
          </w:rPr>
          <w:t>Состав справочной информации</w:t>
        </w:r>
        <w:r>
          <w:rPr>
            <w:webHidden/>
          </w:rPr>
          <w:fldChar w:fldCharType="begin"/>
        </w:r>
        <w:r>
          <w:rPr>
            <w:webHidden/>
          </w:rPr>
          <w:instrText>PAGEREF _Toc452391228 \h</w:instrText>
        </w:r>
        <w:r>
          <w:rPr>
            <w:webHidden/>
          </w:rPr>
          <w:fldChar w:fldCharType="separate"/>
        </w:r>
        <w:r>
          <w:rPr>
            <w:rStyle w:val="Style13"/>
            <w:vanish w:val="false"/>
          </w:rPr>
          <w:tab/>
          <w:t>21</w:t>
        </w:r>
        <w:r>
          <w:rPr>
            <w:webHidden/>
          </w:rPr>
          <w:fldChar w:fldCharType="end"/>
        </w:r>
      </w:hyperlink>
    </w:p>
    <w:p>
      <w:pPr>
        <w:pStyle w:val="22"/>
        <w:rPr>
          <w:rFonts w:ascii="Helvetica" w:hAnsi="Helvetica" w:eastAsia="Helvetica" w:cs="Helvetica" w:asciiTheme="minorHAnsi" w:cstheme="minorBidi" w:eastAsiaTheme="minorEastAsia" w:hAnsiTheme="minorHAnsi"/>
          <w:color w:val="00000A"/>
          <w:sz w:val="22"/>
          <w:szCs w:val="22"/>
        </w:rPr>
      </w:pPr>
      <w:hyperlink w:anchor="_Toc452391229">
        <w:r>
          <w:rPr>
            <w:webHidden/>
            <w:rStyle w:val="Style13"/>
          </w:rPr>
          <w:t>5.2.</w:t>
        </w:r>
        <w:r>
          <w:rPr>
            <w:rStyle w:val="Style13"/>
            <w:rFonts w:eastAsia="Helvetica" w:cs="Helvetica" w:ascii="Helvetica" w:hAnsi="Helvetica" w:asciiTheme="minorHAnsi" w:cstheme="minorBidi" w:eastAsiaTheme="minorEastAsia" w:hAnsiTheme="minorHAnsi"/>
            <w:color w:val="00000A"/>
            <w:sz w:val="22"/>
            <w:szCs w:val="22"/>
          </w:rPr>
          <w:tab/>
        </w:r>
        <w:r>
          <w:rPr>
            <w:rStyle w:val="Style13"/>
          </w:rPr>
          <w:t>Контактная информация</w:t>
        </w:r>
        <w:r>
          <w:rPr>
            <w:webHidden/>
          </w:rPr>
          <w:fldChar w:fldCharType="begin"/>
        </w:r>
        <w:r>
          <w:rPr>
            <w:webHidden/>
          </w:rPr>
          <w:instrText>PAGEREF _Toc452391229 \h</w:instrText>
        </w:r>
        <w:r>
          <w:rPr>
            <w:webHidden/>
          </w:rPr>
          <w:fldChar w:fldCharType="separate"/>
        </w:r>
        <w:r>
          <w:rPr>
            <w:rStyle w:val="Style13"/>
            <w:vanish w:val="false"/>
          </w:rPr>
          <w:tab/>
          <w:t>21</w:t>
        </w:r>
        <w:r>
          <w:rPr>
            <w:webHidden/>
          </w:rPr>
          <w:fldChar w:fldCharType="end"/>
        </w:r>
      </w:hyperlink>
    </w:p>
    <w:p>
      <w:pPr>
        <w:pStyle w:val="22"/>
        <w:rPr>
          <w:rFonts w:ascii="Helvetica" w:hAnsi="Helvetica" w:eastAsia="Helvetica" w:cs="Helvetica" w:asciiTheme="minorHAnsi" w:cstheme="minorBidi" w:eastAsiaTheme="minorEastAsia" w:hAnsiTheme="minorHAnsi"/>
          <w:color w:val="00000A"/>
          <w:sz w:val="22"/>
          <w:szCs w:val="22"/>
        </w:rPr>
      </w:pPr>
      <w:hyperlink w:anchor="_Toc452391230">
        <w:r>
          <w:rPr>
            <w:webHidden/>
            <w:rStyle w:val="Style13"/>
          </w:rPr>
          <w:t>5.3.</w:t>
        </w:r>
        <w:r>
          <w:rPr>
            <w:rStyle w:val="Style13"/>
            <w:rFonts w:eastAsia="Helvetica" w:cs="Helvetica" w:ascii="Helvetica" w:hAnsi="Helvetica" w:asciiTheme="minorHAnsi" w:cstheme="minorBidi" w:eastAsiaTheme="minorEastAsia" w:hAnsiTheme="minorHAnsi"/>
            <w:color w:val="00000A"/>
            <w:sz w:val="22"/>
            <w:szCs w:val="22"/>
          </w:rPr>
          <w:tab/>
        </w:r>
        <w:r>
          <w:rPr>
            <w:rStyle w:val="Style13"/>
          </w:rPr>
          <w:t>Примечания</w:t>
        </w:r>
        <w:r>
          <w:rPr>
            <w:webHidden/>
          </w:rPr>
          <w:fldChar w:fldCharType="begin"/>
        </w:r>
        <w:r>
          <w:rPr>
            <w:webHidden/>
          </w:rPr>
          <w:instrText>PAGEREF _Toc452391230 \h</w:instrText>
        </w:r>
        <w:r>
          <w:rPr>
            <w:webHidden/>
          </w:rPr>
          <w:fldChar w:fldCharType="separate"/>
        </w:r>
        <w:r>
          <w:rPr>
            <w:rStyle w:val="Style13"/>
            <w:vanish w:val="false"/>
          </w:rPr>
          <w:tab/>
          <w:t>21</w:t>
        </w:r>
        <w:r>
          <w:rPr>
            <w:webHidden/>
          </w:rPr>
          <w:fldChar w:fldCharType="end"/>
        </w:r>
      </w:hyperlink>
    </w:p>
    <w:p>
      <w:pPr>
        <w:pStyle w:val="Normal"/>
        <w:tabs>
          <w:tab w:val="right" w:pos="8973" w:leader="dot"/>
        </w:tabs>
        <w:spacing w:before="120" w:after="0"/>
        <w:ind w:right="23" w:firstLine="709"/>
        <w:jc w:val="both"/>
        <w:rPr/>
      </w:pPr>
      <w:r>
        <w:rPr/>
      </w:r>
      <w:r>
        <w:rPr/>
        <w:fldChar w:fldCharType="end"/>
      </w:r>
    </w:p>
    <w:p>
      <w:pPr>
        <w:pStyle w:val="Normal"/>
        <w:numPr>
          <w:ilvl w:val="0"/>
          <w:numId w:val="0"/>
        </w:numPr>
        <w:tabs>
          <w:tab w:val="right" w:pos="8973" w:leader="dot"/>
        </w:tabs>
        <w:spacing w:before="120" w:after="0"/>
        <w:ind w:right="23" w:firstLine="709"/>
        <w:jc w:val="both"/>
        <w:outlineLvl w:val="0"/>
        <w:rPr/>
      </w:pPr>
      <w:r>
        <w:rPr/>
      </w:r>
      <w:r>
        <w:br w:type="page"/>
      </w:r>
    </w:p>
    <w:p>
      <w:pPr>
        <w:pStyle w:val="Normal"/>
        <w:jc w:val="center"/>
        <w:rPr>
          <w:b/>
          <w:b/>
        </w:rPr>
      </w:pPr>
      <w:r>
        <w:rPr>
          <w:b/>
        </w:rPr>
        <w:t>ИЗМЕНЕНИЯ</w:t>
      </w:r>
    </w:p>
    <w:p>
      <w:pPr>
        <w:pStyle w:val="Normal"/>
        <w:jc w:val="center"/>
        <w:rPr/>
      </w:pPr>
      <w:r>
        <w:rPr/>
      </w:r>
    </w:p>
    <w:tbl>
      <w:tblPr>
        <w:tblStyle w:val="TableNormal"/>
        <w:tblW w:w="9436" w:type="dxa"/>
        <w:jc w:val="left"/>
        <w:tblInd w:w="470" w:type="dxa"/>
        <w:tblBorders>
          <w:top w:val="single" w:sz="6" w:space="0" w:color="000001"/>
          <w:left w:val="single" w:sz="6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80" w:type="dxa"/>
          <w:left w:w="72" w:type="dxa"/>
          <w:bottom w:w="80" w:type="dxa"/>
          <w:right w:w="80" w:type="dxa"/>
        </w:tblCellMar>
        <w:tblLook w:noVBand="1" w:val="04a0" w:noHBand="0" w:lastColumn="0" w:firstColumn="1" w:lastRow="0" w:firstRow="1"/>
      </w:tblPr>
      <w:tblGrid>
        <w:gridCol w:w="1275"/>
        <w:gridCol w:w="1559"/>
        <w:gridCol w:w="1849"/>
        <w:gridCol w:w="4752"/>
      </w:tblGrid>
      <w:tr>
        <w:trPr>
          <w:trHeight w:val="307" w:hRule="atLeast"/>
        </w:trPr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/>
            </w:pPr>
            <w:r>
              <w:rPr/>
              <w:t>Версия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/>
            </w:pPr>
            <w:r>
              <w:rPr/>
              <w:t>Дата</w:t>
            </w:r>
          </w:p>
        </w:tc>
        <w:tc>
          <w:tcPr>
            <w:tcW w:w="1849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/>
            </w:pPr>
            <w:r>
              <w:rPr/>
              <w:t>Автор</w:t>
            </w:r>
          </w:p>
        </w:tc>
        <w:tc>
          <w:tcPr>
            <w:tcW w:w="4752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6" w:space="0" w:color="000001"/>
              <w:insideH w:val="single" w:sz="8" w:space="0" w:color="000001"/>
              <w:insideV w:val="single" w:sz="6" w:space="0" w:color="000001"/>
            </w:tcBorders>
            <w:shd w:fill="auto" w:val="clea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/>
            </w:pPr>
            <w:r>
              <w:rPr/>
              <w:t>Изменения</w:t>
            </w:r>
          </w:p>
        </w:tc>
      </w:tr>
      <w:tr>
        <w:trPr>
          <w:trHeight w:val="260" w:hRule="atLeast"/>
        </w:trPr>
        <w:tc>
          <w:tcPr>
            <w:tcW w:w="1275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1.0</w:t>
            </w: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30.05.2016</w:t>
            </w:r>
          </w:p>
        </w:tc>
        <w:tc>
          <w:tcPr>
            <w:tcW w:w="184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Свечников А.Н.</w:t>
            </w:r>
          </w:p>
        </w:tc>
        <w:tc>
          <w:tcPr>
            <w:tcW w:w="47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  <w:insideH w:val="single" w:sz="8" w:space="0" w:color="000001"/>
              <w:insideV w:val="single" w:sz="6" w:space="0" w:color="000001"/>
            </w:tcBorders>
            <w:shd w:fill="auto" w:val="clear"/>
          </w:tcPr>
          <w:p>
            <w:pPr>
              <w:pStyle w:val="Normal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Исходный документ</w:t>
            </w:r>
          </w:p>
        </w:tc>
      </w:tr>
      <w:tr>
        <w:trPr>
          <w:trHeight w:val="260" w:hRule="atLeast"/>
        </w:trPr>
        <w:tc>
          <w:tcPr>
            <w:tcW w:w="1275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jc w:val="center"/>
              <w:textAlignment w:val="baseline"/>
              <w:rPr>
                <w:rFonts w:eastAsia="Times New Roman" w:cs="Times New Roman"/>
                <w:color w:val="0070C0"/>
              </w:rPr>
            </w:pPr>
            <w:r>
              <w:rPr>
                <w:rFonts w:eastAsia="Times New Roman" w:cs="Times New Roman"/>
                <w:color w:val="0070C0"/>
              </w:rPr>
              <w:t>1.0</w:t>
            </w: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jc w:val="center"/>
              <w:textAlignment w:val="baseline"/>
              <w:rPr>
                <w:rFonts w:eastAsia="Times New Roman" w:cs="Times New Roman"/>
                <w:color w:val="0070C0"/>
              </w:rPr>
            </w:pPr>
            <w:r>
              <w:rPr>
                <w:rFonts w:eastAsia="Times New Roman" w:cs="Times New Roman"/>
                <w:color w:val="0070C0"/>
              </w:rPr>
              <w:t>28.06.2016</w:t>
            </w:r>
          </w:p>
        </w:tc>
        <w:tc>
          <w:tcPr>
            <w:tcW w:w="184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jc w:val="center"/>
              <w:textAlignment w:val="baseline"/>
              <w:rPr>
                <w:rFonts w:eastAsia="Times New Roman" w:cs="Times New Roman"/>
                <w:color w:val="0070C0"/>
              </w:rPr>
            </w:pPr>
            <w:r>
              <w:rPr>
                <w:rFonts w:eastAsia="Times New Roman" w:cs="Times New Roman"/>
                <w:color w:val="0070C0"/>
              </w:rPr>
              <w:t>Свечников А.Н.</w:t>
            </w:r>
          </w:p>
        </w:tc>
        <w:tc>
          <w:tcPr>
            <w:tcW w:w="47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  <w:insideH w:val="single" w:sz="8" w:space="0" w:color="000001"/>
              <w:insideV w:val="single" w:sz="6" w:space="0" w:color="000001"/>
            </w:tcBorders>
            <w:shd w:fill="auto" w:val="clear"/>
          </w:tcPr>
          <w:p>
            <w:pPr>
              <w:pStyle w:val="Normal"/>
              <w:jc w:val="both"/>
              <w:textAlignment w:val="baseline"/>
              <w:rPr>
                <w:rFonts w:eastAsia="Times New Roman" w:cs="Times New Roman"/>
                <w:color w:val="0070C0"/>
              </w:rPr>
            </w:pPr>
            <w:r>
              <w:rPr>
                <w:rFonts w:eastAsia="Times New Roman" w:cs="Times New Roman"/>
                <w:color w:val="0070C0"/>
              </w:rPr>
              <w:t>Изменена схема. Версия 4.0.1.</w:t>
            </w:r>
          </w:p>
        </w:tc>
      </w:tr>
      <w:tr>
        <w:trPr>
          <w:trHeight w:val="260" w:hRule="atLeast"/>
        </w:trPr>
        <w:tc>
          <w:tcPr>
            <w:tcW w:w="1275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1.1</w:t>
            </w: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16.05.2018</w:t>
            </w:r>
          </w:p>
        </w:tc>
        <w:tc>
          <w:tcPr>
            <w:tcW w:w="184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</w:t>
            </w:r>
            <w:r>
              <w:rPr>
                <w:rFonts w:eastAsia="Times New Roman" w:cs="Times New Roman"/>
              </w:rPr>
              <w:t>Корнеева С.Н.</w:t>
            </w:r>
          </w:p>
        </w:tc>
        <w:tc>
          <w:tcPr>
            <w:tcW w:w="47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  <w:insideH w:val="single" w:sz="8" w:space="0" w:color="000001"/>
              <w:insideV w:val="single" w:sz="6" w:space="0" w:color="000001"/>
            </w:tcBorders>
            <w:shd w:fill="auto" w:val="clear"/>
          </w:tcPr>
          <w:p>
            <w:pPr>
              <w:pStyle w:val="Normal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Внесены изменения в п.1.2: внесена информация в поле «Потребители».</w:t>
            </w:r>
            <w:bookmarkStart w:id="0" w:name="_GoBack"/>
            <w:bookmarkEnd w:id="0"/>
          </w:p>
        </w:tc>
      </w:tr>
      <w:tr>
        <w:trPr>
          <w:trHeight w:val="260" w:hRule="atLeast"/>
        </w:trPr>
        <w:tc>
          <w:tcPr>
            <w:tcW w:w="1275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jc w:val="center"/>
              <w:textAlignment w:val="baseline"/>
              <w:rPr>
                <w:rFonts w:eastAsia="Times New Roman" w:cs="Times New Roman"/>
                <w:color w:val="0070C0"/>
              </w:rPr>
            </w:pPr>
            <w:r>
              <w:rPr>
                <w:rFonts w:eastAsia="Times New Roman" w:cs="Times New Roman"/>
                <w:color w:val="0070C0"/>
              </w:rPr>
            </w: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jc w:val="center"/>
              <w:textAlignment w:val="baseline"/>
              <w:rPr>
                <w:rFonts w:eastAsia="Times New Roman" w:cs="Times New Roman"/>
                <w:color w:val="0070C0"/>
              </w:rPr>
            </w:pPr>
            <w:r>
              <w:rPr>
                <w:rFonts w:eastAsia="Times New Roman" w:cs="Times New Roman"/>
                <w:color w:val="0070C0"/>
              </w:rPr>
            </w:r>
          </w:p>
        </w:tc>
        <w:tc>
          <w:tcPr>
            <w:tcW w:w="184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jc w:val="center"/>
              <w:textAlignment w:val="baseline"/>
              <w:rPr>
                <w:rFonts w:eastAsia="Times New Roman" w:cs="Times New Roman"/>
                <w:color w:val="0070C0"/>
              </w:rPr>
            </w:pPr>
            <w:r>
              <w:rPr>
                <w:rFonts w:eastAsia="Times New Roman" w:cs="Times New Roman"/>
                <w:color w:val="0070C0"/>
              </w:rPr>
            </w:r>
          </w:p>
        </w:tc>
        <w:tc>
          <w:tcPr>
            <w:tcW w:w="47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  <w:insideH w:val="single" w:sz="8" w:space="0" w:color="000001"/>
              <w:insideV w:val="single" w:sz="6" w:space="0" w:color="000001"/>
            </w:tcBorders>
            <w:shd w:fill="auto" w:val="clear"/>
          </w:tcPr>
          <w:p>
            <w:pPr>
              <w:pStyle w:val="Normal"/>
              <w:textAlignment w:val="baseline"/>
              <w:rPr>
                <w:rFonts w:eastAsia="Times New Roman" w:cs="Times New Roman"/>
                <w:color w:val="0070C0"/>
              </w:rPr>
            </w:pPr>
            <w:r>
              <w:rPr>
                <w:rFonts w:eastAsia="Times New Roman" w:cs="Times New Roman"/>
                <w:color w:val="0070C0"/>
              </w:rPr>
            </w:r>
          </w:p>
        </w:tc>
      </w:tr>
      <w:tr>
        <w:trPr>
          <w:trHeight w:val="260" w:hRule="atLeast"/>
        </w:trPr>
        <w:tc>
          <w:tcPr>
            <w:tcW w:w="1275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jc w:val="center"/>
              <w:textAlignment w:val="baseline"/>
              <w:rPr>
                <w:rFonts w:eastAsia="Times New Roman" w:cs="Times New Roman"/>
                <w:color w:val="0070C0"/>
              </w:rPr>
            </w:pPr>
            <w:r>
              <w:rPr>
                <w:rFonts w:eastAsia="Times New Roman" w:cs="Times New Roman"/>
                <w:color w:val="0070C0"/>
              </w:rPr>
            </w: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jc w:val="center"/>
              <w:textAlignment w:val="baseline"/>
              <w:rPr>
                <w:rFonts w:eastAsia="Times New Roman" w:cs="Times New Roman"/>
                <w:color w:val="0070C0"/>
              </w:rPr>
            </w:pPr>
            <w:r>
              <w:rPr>
                <w:rFonts w:eastAsia="Times New Roman" w:cs="Times New Roman"/>
                <w:color w:val="0070C0"/>
              </w:rPr>
            </w:r>
          </w:p>
        </w:tc>
        <w:tc>
          <w:tcPr>
            <w:tcW w:w="184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jc w:val="center"/>
              <w:textAlignment w:val="baseline"/>
              <w:rPr>
                <w:rFonts w:eastAsia="Times New Roman" w:cs="Times New Roman"/>
                <w:color w:val="0070C0"/>
              </w:rPr>
            </w:pPr>
            <w:r>
              <w:rPr>
                <w:rFonts w:eastAsia="Times New Roman" w:cs="Times New Roman"/>
                <w:color w:val="0070C0"/>
              </w:rPr>
            </w:r>
          </w:p>
        </w:tc>
        <w:tc>
          <w:tcPr>
            <w:tcW w:w="47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  <w:insideH w:val="single" w:sz="8" w:space="0" w:color="000001"/>
              <w:insideV w:val="single" w:sz="6" w:space="0" w:color="000001"/>
            </w:tcBorders>
            <w:shd w:fill="auto" w:val="clear"/>
          </w:tcPr>
          <w:p>
            <w:pPr>
              <w:pStyle w:val="Normal"/>
              <w:jc w:val="center"/>
              <w:textAlignment w:val="baseline"/>
              <w:rPr>
                <w:rFonts w:eastAsia="Times New Roman" w:cs="Times New Roman"/>
                <w:color w:val="0070C0"/>
              </w:rPr>
            </w:pPr>
            <w:r>
              <w:rPr>
                <w:rFonts w:eastAsia="Times New Roman" w:cs="Times New Roman"/>
                <w:color w:val="0070C0"/>
              </w:rPr>
            </w:r>
          </w:p>
        </w:tc>
      </w:tr>
    </w:tbl>
    <w:p>
      <w:pPr>
        <w:pStyle w:val="Normal"/>
        <w:rPr>
          <w:u w:val="none" w:color="A6A6A6"/>
        </w:rPr>
      </w:pPr>
      <w:r>
        <w:rPr>
          <w:u w:val="none" w:color="A6A6A6"/>
        </w:rPr>
      </w:r>
    </w:p>
    <w:p>
      <w:pPr>
        <w:pStyle w:val="Normal"/>
        <w:jc w:val="center"/>
        <w:rPr>
          <w:b/>
          <w:b/>
        </w:rPr>
      </w:pPr>
      <w:r>
        <w:rPr>
          <w:b/>
        </w:rPr>
        <w:t>ТЕРМИНЫ И СОКРАЩЕНИЯ</w:t>
      </w:r>
    </w:p>
    <w:p>
      <w:pPr>
        <w:pStyle w:val="Normal"/>
        <w:rPr>
          <w:rFonts w:ascii="Calibri" w:hAnsi="Calibri" w:eastAsia="Calibri" w:cs="Calibri"/>
        </w:rPr>
      </w:pPr>
      <w:r>
        <w:rPr>
          <w:rFonts w:eastAsia="Calibri" w:cs="Calibri" w:ascii="Calibri" w:hAnsi="Calibri"/>
        </w:rPr>
      </w:r>
    </w:p>
    <w:tbl>
      <w:tblPr>
        <w:tblStyle w:val="TableNormal"/>
        <w:tblW w:w="9436" w:type="dxa"/>
        <w:jc w:val="left"/>
        <w:tblInd w:w="470" w:type="dxa"/>
        <w:tblBorders>
          <w:top w:val="single" w:sz="6" w:space="0" w:color="000001"/>
          <w:left w:val="single" w:sz="6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80" w:type="dxa"/>
          <w:left w:w="72" w:type="dxa"/>
          <w:bottom w:w="80" w:type="dxa"/>
          <w:right w:w="80" w:type="dxa"/>
        </w:tblCellMar>
        <w:tblLook w:noVBand="1" w:val="04a0" w:noHBand="0" w:lastColumn="0" w:firstColumn="1" w:lastRow="0" w:firstRow="1"/>
      </w:tblPr>
      <w:tblGrid>
        <w:gridCol w:w="2693"/>
        <w:gridCol w:w="6742"/>
      </w:tblGrid>
      <w:tr>
        <w:trPr>
          <w:trHeight w:val="307" w:hRule="atLeast"/>
        </w:trPr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/>
            </w:pPr>
            <w:r>
              <w:rPr/>
              <w:t>Термин</w:t>
            </w:r>
            <w:r>
              <w:rPr>
                <w:rFonts w:ascii="Times New Roman" w:hAnsi="Times New Roman"/>
              </w:rPr>
              <w:t>/</w:t>
            </w:r>
            <w:r>
              <w:rPr/>
              <w:t>сокращение</w:t>
            </w:r>
          </w:p>
        </w:tc>
        <w:tc>
          <w:tcPr>
            <w:tcW w:w="6742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6" w:space="0" w:color="000001"/>
              <w:insideH w:val="single" w:sz="8" w:space="0" w:color="000001"/>
              <w:insideV w:val="single" w:sz="6" w:space="0" w:color="000001"/>
            </w:tcBorders>
            <w:shd w:fill="auto" w:val="clea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/>
            </w:pPr>
            <w:r>
              <w:rPr/>
              <w:t>Описание</w:t>
            </w:r>
          </w:p>
        </w:tc>
      </w:tr>
      <w:tr>
        <w:trPr>
          <w:trHeight w:val="260" w:hRule="atLeast"/>
        </w:trPr>
        <w:tc>
          <w:tcPr>
            <w:tcW w:w="2693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СМЭВ</w:t>
            </w:r>
          </w:p>
        </w:tc>
        <w:tc>
          <w:tcPr>
            <w:tcW w:w="67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  <w:insideH w:val="single" w:sz="8" w:space="0" w:color="000001"/>
              <w:insideV w:val="single" w:sz="6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Система межведомственного электронного взаимодействия</w:t>
            </w:r>
          </w:p>
        </w:tc>
      </w:tr>
      <w:tr>
        <w:trPr>
          <w:trHeight w:val="260" w:hRule="atLeast"/>
        </w:trPr>
        <w:tc>
          <w:tcPr>
            <w:tcW w:w="2693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Поставщик</w:t>
            </w:r>
          </w:p>
        </w:tc>
        <w:tc>
          <w:tcPr>
            <w:tcW w:w="67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  <w:insideH w:val="single" w:sz="8" w:space="0" w:color="000001"/>
              <w:insideV w:val="single" w:sz="6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Организация-владелец электронного сервиса</w:t>
            </w:r>
          </w:p>
        </w:tc>
      </w:tr>
      <w:tr>
        <w:trPr>
          <w:trHeight w:val="260" w:hRule="atLeast"/>
        </w:trPr>
        <w:tc>
          <w:tcPr>
            <w:tcW w:w="2693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WSDL</w:t>
            </w:r>
          </w:p>
        </w:tc>
        <w:tc>
          <w:tcPr>
            <w:tcW w:w="67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  <w:insideH w:val="single" w:sz="8" w:space="0" w:color="000001"/>
              <w:insideV w:val="single" w:sz="6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 xml:space="preserve">Web Services Description Language — </w:t>
            </w:r>
            <w:r>
              <w:rPr>
                <w:rFonts w:cs="Times New Roman"/>
              </w:rPr>
              <w:t>язык</w:t>
            </w:r>
            <w:r>
              <w:rPr>
                <w:rFonts w:cs="Times New Roman"/>
                <w:lang w:val="en-US"/>
              </w:rPr>
              <w:t xml:space="preserve"> </w:t>
            </w:r>
            <w:r>
              <w:rPr>
                <w:rFonts w:cs="Times New Roman"/>
              </w:rPr>
              <w:t>описания</w:t>
            </w:r>
            <w:r>
              <w:rPr>
                <w:rFonts w:cs="Times New Roman"/>
                <w:lang w:val="en-US"/>
              </w:rPr>
              <w:t xml:space="preserve"> </w:t>
            </w:r>
            <w:r>
              <w:rPr>
                <w:rFonts w:cs="Times New Roman"/>
              </w:rPr>
              <w:t>веб</w:t>
            </w:r>
            <w:r>
              <w:rPr>
                <w:rFonts w:cs="Times New Roman"/>
                <w:lang w:val="en-US"/>
              </w:rPr>
              <w:t>-</w:t>
            </w:r>
            <w:r>
              <w:rPr>
                <w:rFonts w:cs="Times New Roman"/>
              </w:rPr>
              <w:t>сервисов</w:t>
            </w:r>
            <w:r>
              <w:rPr>
                <w:rFonts w:cs="Times New Roman"/>
                <w:lang w:val="en-US"/>
              </w:rPr>
              <w:t>.</w:t>
            </w:r>
          </w:p>
        </w:tc>
      </w:tr>
      <w:tr>
        <w:trPr>
          <w:trHeight w:val="260" w:hRule="atLeast"/>
        </w:trPr>
        <w:tc>
          <w:tcPr>
            <w:tcW w:w="2693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XSD</w:t>
            </w:r>
          </w:p>
        </w:tc>
        <w:tc>
          <w:tcPr>
            <w:tcW w:w="67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  <w:insideH w:val="single" w:sz="8" w:space="0" w:color="000001"/>
              <w:insideV w:val="single" w:sz="6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 xml:space="preserve">XML </w:t>
            </w:r>
            <w:r>
              <w:rPr>
                <w:rFonts w:cs="Times New Roman"/>
                <w:lang w:val="en-US"/>
              </w:rPr>
              <w:t>Schemadefinition</w:t>
            </w:r>
            <w:r>
              <w:rPr>
                <w:rFonts w:cs="Times New Roman"/>
              </w:rPr>
              <w:t>- язык описания структуры XML документа.</w:t>
            </w:r>
          </w:p>
        </w:tc>
      </w:tr>
      <w:tr>
        <w:trPr>
          <w:trHeight w:val="260" w:hRule="atLeast"/>
        </w:trPr>
        <w:tc>
          <w:tcPr>
            <w:tcW w:w="2693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SOAP</w:t>
            </w:r>
          </w:p>
        </w:tc>
        <w:tc>
          <w:tcPr>
            <w:tcW w:w="67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  <w:insideH w:val="single" w:sz="8" w:space="0" w:color="000001"/>
              <w:insideV w:val="single" w:sz="6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  <w:lang w:val="en-US"/>
              </w:rPr>
              <w:t>SimpleObjectAccessProtocol</w:t>
            </w:r>
            <w:r>
              <w:rPr>
                <w:rFonts w:cs="Times New Roman"/>
              </w:rPr>
              <w:t>- протокол обмена структурированными сообщениями в распределённой вычислительной среде.</w:t>
            </w:r>
          </w:p>
        </w:tc>
      </w:tr>
      <w:tr>
        <w:trPr>
          <w:trHeight w:val="260" w:hRule="atLeast"/>
        </w:trPr>
        <w:tc>
          <w:tcPr>
            <w:tcW w:w="2693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XML</w:t>
            </w:r>
          </w:p>
        </w:tc>
        <w:tc>
          <w:tcPr>
            <w:tcW w:w="67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  <w:insideH w:val="single" w:sz="8" w:space="0" w:color="000001"/>
              <w:insideV w:val="single" w:sz="6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 xml:space="preserve">eXtensible Markup Language — </w:t>
            </w:r>
            <w:r>
              <w:rPr>
                <w:rFonts w:cs="Times New Roman"/>
              </w:rPr>
              <w:t>расширяемый</w:t>
            </w:r>
            <w:r>
              <w:rPr>
                <w:rFonts w:cs="Times New Roman"/>
                <w:lang w:val="en-US"/>
              </w:rPr>
              <w:t xml:space="preserve"> </w:t>
            </w:r>
            <w:r>
              <w:rPr>
                <w:rFonts w:cs="Times New Roman"/>
              </w:rPr>
              <w:t>язык</w:t>
            </w:r>
            <w:r>
              <w:rPr>
                <w:rFonts w:cs="Times New Roman"/>
                <w:lang w:val="en-US"/>
              </w:rPr>
              <w:t xml:space="preserve"> </w:t>
            </w:r>
            <w:r>
              <w:rPr>
                <w:rFonts w:cs="Times New Roman"/>
              </w:rPr>
              <w:t>разметки</w:t>
            </w:r>
            <w:r>
              <w:rPr>
                <w:rFonts w:cs="Times New Roman"/>
                <w:lang w:val="en-US"/>
              </w:rPr>
              <w:t>.</w:t>
            </w:r>
          </w:p>
        </w:tc>
      </w:tr>
      <w:tr>
        <w:trPr>
          <w:trHeight w:val="260" w:hRule="atLeast"/>
        </w:trPr>
        <w:tc>
          <w:tcPr>
            <w:tcW w:w="2693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ИНН</w:t>
            </w:r>
          </w:p>
        </w:tc>
        <w:tc>
          <w:tcPr>
            <w:tcW w:w="67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  <w:insideH w:val="single" w:sz="8" w:space="0" w:color="000001"/>
              <w:insideV w:val="single" w:sz="6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Идентификационный номер налогоплательщика</w:t>
            </w:r>
          </w:p>
        </w:tc>
      </w:tr>
      <w:tr>
        <w:trPr>
          <w:trHeight w:val="260" w:hRule="atLeast"/>
        </w:trPr>
        <w:tc>
          <w:tcPr>
            <w:tcW w:w="2693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ОГРН</w:t>
            </w:r>
          </w:p>
        </w:tc>
        <w:tc>
          <w:tcPr>
            <w:tcW w:w="67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  <w:insideH w:val="single" w:sz="8" w:space="0" w:color="000001"/>
              <w:insideV w:val="single" w:sz="6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Основной государственный регистрационный номер юридического лица</w:t>
            </w:r>
          </w:p>
        </w:tc>
      </w:tr>
      <w:tr>
        <w:trPr>
          <w:trHeight w:val="260" w:hRule="atLeast"/>
        </w:trPr>
        <w:tc>
          <w:tcPr>
            <w:tcW w:w="2693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ЮЛ</w:t>
            </w:r>
          </w:p>
        </w:tc>
        <w:tc>
          <w:tcPr>
            <w:tcW w:w="67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  <w:insideH w:val="single" w:sz="8" w:space="0" w:color="000001"/>
              <w:insideV w:val="single" w:sz="6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Юридическое лицо</w:t>
            </w:r>
          </w:p>
        </w:tc>
      </w:tr>
      <w:tr>
        <w:trPr>
          <w:trHeight w:val="260" w:hRule="atLeast"/>
        </w:trPr>
        <w:tc>
          <w:tcPr>
            <w:tcW w:w="2693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ФЛ</w:t>
            </w:r>
          </w:p>
        </w:tc>
        <w:tc>
          <w:tcPr>
            <w:tcW w:w="67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  <w:insideH w:val="single" w:sz="8" w:space="0" w:color="000001"/>
              <w:insideV w:val="single" w:sz="6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Физическое лицо</w:t>
            </w:r>
          </w:p>
        </w:tc>
      </w:tr>
      <w:tr>
        <w:trPr>
          <w:trHeight w:val="260" w:hRule="atLeast"/>
        </w:trPr>
        <w:tc>
          <w:tcPr>
            <w:tcW w:w="2693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ЭП</w:t>
            </w:r>
          </w:p>
        </w:tc>
        <w:tc>
          <w:tcPr>
            <w:tcW w:w="67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  <w:insideH w:val="single" w:sz="8" w:space="0" w:color="000001"/>
              <w:insideV w:val="single" w:sz="6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Электронная подпись</w:t>
            </w:r>
          </w:p>
        </w:tc>
      </w:tr>
      <w:tr>
        <w:trPr>
          <w:trHeight w:val="260" w:hRule="atLeast"/>
        </w:trPr>
        <w:tc>
          <w:tcPr>
            <w:tcW w:w="2693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ФНС России</w:t>
            </w:r>
          </w:p>
        </w:tc>
        <w:tc>
          <w:tcPr>
            <w:tcW w:w="67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  <w:insideH w:val="single" w:sz="8" w:space="0" w:color="000001"/>
              <w:insideV w:val="single" w:sz="6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 xml:space="preserve">Федеральная налоговая служба </w:t>
            </w:r>
          </w:p>
        </w:tc>
      </w:tr>
      <w:tr>
        <w:trPr>
          <w:trHeight w:val="260" w:hRule="atLeast"/>
        </w:trPr>
        <w:tc>
          <w:tcPr>
            <w:tcW w:w="2693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НО</w:t>
            </w:r>
          </w:p>
        </w:tc>
        <w:tc>
          <w:tcPr>
            <w:tcW w:w="67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  <w:insideH w:val="single" w:sz="8" w:space="0" w:color="000001"/>
              <w:insideV w:val="single" w:sz="6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Налоговый орган</w:t>
            </w:r>
          </w:p>
        </w:tc>
      </w:tr>
    </w:tbl>
    <w:p>
      <w:pPr>
        <w:pStyle w:val="Normal"/>
        <w:rPr/>
      </w:pPr>
      <w:r>
        <w:rPr/>
      </w:r>
    </w:p>
    <w:p>
      <w:pPr>
        <w:pStyle w:val="1"/>
        <w:numPr>
          <w:ilvl w:val="0"/>
          <w:numId w:val="2"/>
        </w:numPr>
        <w:rPr/>
      </w:pPr>
      <w:bookmarkStart w:id="1" w:name="_Toc452391209"/>
      <w:bookmarkStart w:id="2" w:name="_Toc432068029"/>
      <w:bookmarkStart w:id="3" w:name="_Toc"/>
      <w:r>
        <w:rPr/>
        <w:t>ОБЩИЕ СВЕДЕНИЯ</w:t>
      </w:r>
      <w:bookmarkEnd w:id="1"/>
      <w:bookmarkEnd w:id="2"/>
      <w:bookmarkEnd w:id="3"/>
    </w:p>
    <w:p>
      <w:pPr>
        <w:pStyle w:val="2"/>
        <w:numPr>
          <w:ilvl w:val="1"/>
          <w:numId w:val="2"/>
        </w:numPr>
        <w:rPr/>
      </w:pPr>
      <w:bookmarkStart w:id="4" w:name="_Toc452391210"/>
      <w:bookmarkStart w:id="5" w:name="_Toc432068030"/>
      <w:bookmarkStart w:id="6" w:name="_Toc1"/>
      <w:r>
        <w:rPr/>
        <w:t>Руководящие документы</w:t>
      </w:r>
      <w:bookmarkEnd w:id="4"/>
      <w:bookmarkEnd w:id="5"/>
      <w:bookmarkEnd w:id="6"/>
    </w:p>
    <w:p>
      <w:pPr>
        <w:pStyle w:val="Normal"/>
        <w:pBdr/>
        <w:tabs>
          <w:tab w:val="left" w:pos="960" w:leader="none"/>
        </w:tabs>
        <w:ind w:left="960" w:hanging="240"/>
        <w:jc w:val="both"/>
        <w:textAlignment w:val="baseline"/>
        <w:rPr/>
      </w:pPr>
      <w:r>
        <w:rPr/>
        <w:t>Основанием для разработки данного вида сведений являются следующие нормативно – правовые акты:</w:t>
      </w:r>
    </w:p>
    <w:p>
      <w:pPr>
        <w:pStyle w:val="Normal"/>
        <w:pBdr/>
        <w:tabs>
          <w:tab w:val="left" w:pos="960" w:leader="none"/>
        </w:tabs>
        <w:spacing w:before="120" w:after="0"/>
        <w:ind w:left="958" w:hanging="238"/>
        <w:jc w:val="both"/>
        <w:textAlignment w:val="baseline"/>
        <w:rPr>
          <w:rFonts w:cs="Times New Roman"/>
        </w:rPr>
      </w:pPr>
      <w:r>
        <w:rPr>
          <w:rFonts w:cs="Times New Roman"/>
        </w:rPr>
        <w:t xml:space="preserve">- Федеральный закон от 10.12.2003 № 173-ФЗ «О валютном регулировании и валютном контроле»; </w:t>
      </w:r>
    </w:p>
    <w:p>
      <w:pPr>
        <w:pStyle w:val="Normal"/>
        <w:pBdr/>
        <w:tabs>
          <w:tab w:val="left" w:pos="960" w:leader="none"/>
        </w:tabs>
        <w:spacing w:before="120" w:after="0"/>
        <w:ind w:left="958" w:hanging="238"/>
        <w:jc w:val="both"/>
        <w:textAlignment w:val="baseline"/>
        <w:rPr>
          <w:rFonts w:cs="Times New Roman"/>
        </w:rPr>
      </w:pPr>
      <w:r>
        <w:rPr>
          <w:rFonts w:cs="Times New Roman"/>
        </w:rPr>
        <w:t>- Приказ ФНС России от 21.09.2010 № ММ-7-6/457@ «Об утверждении форм уведомлений об открытии (закрытии), об изменении реквизитов счета(вклада) в банке, расположенном за пределами территории Российской Федерации, и о наличии счета в банке за пределами территории Российской Федерации».</w:t>
      </w:r>
    </w:p>
    <w:p>
      <w:pPr>
        <w:pStyle w:val="2"/>
        <w:numPr>
          <w:ilvl w:val="1"/>
          <w:numId w:val="2"/>
        </w:numPr>
        <w:rPr/>
      </w:pPr>
      <w:bookmarkStart w:id="7" w:name="_Toc452391211"/>
      <w:bookmarkStart w:id="8" w:name="_Toc432068031"/>
      <w:bookmarkStart w:id="9" w:name="_Toc2"/>
      <w:r>
        <w:rPr/>
        <w:t>Описание вида сведения</w:t>
      </w:r>
      <w:bookmarkEnd w:id="7"/>
      <w:bookmarkEnd w:id="8"/>
      <w:bookmarkEnd w:id="9"/>
    </w:p>
    <w:tbl>
      <w:tblPr>
        <w:tblStyle w:val="TableNormal"/>
        <w:tblW w:w="9747" w:type="dxa"/>
        <w:jc w:val="left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80" w:type="dxa"/>
          <w:left w:w="75" w:type="dxa"/>
          <w:bottom w:w="80" w:type="dxa"/>
          <w:right w:w="80" w:type="dxa"/>
        </w:tblCellMar>
        <w:tblLook w:noVBand="1" w:val="04a0" w:noHBand="0" w:lastColumn="0" w:firstColumn="1" w:lastRow="0" w:firstRow="1"/>
      </w:tblPr>
      <w:tblGrid>
        <w:gridCol w:w="1951"/>
        <w:gridCol w:w="7795"/>
      </w:tblGrid>
      <w:tr>
        <w:trPr>
          <w:trHeight w:val="350" w:hRule="atLeast"/>
        </w:trPr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>Наименование:</w:t>
            </w:r>
          </w:p>
        </w:tc>
        <w:tc>
          <w:tcPr>
            <w:tcW w:w="7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iCs/>
              </w:rPr>
              <w:t>Сведения о банковских счетах резидентов – организаций, открытых в банках, расположенных за пределами территории Российской Федерации</w:t>
            </w:r>
          </w:p>
        </w:tc>
      </w:tr>
      <w:tr>
        <w:trPr>
          <w:trHeight w:val="735" w:hRule="atLeast"/>
        </w:trPr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rPr/>
            </w:pPr>
            <w:r>
              <w:rPr/>
              <w:t>ID вида сведения в ФРГУ</w:t>
            </w:r>
          </w:p>
        </w:tc>
        <w:tc>
          <w:tcPr>
            <w:tcW w:w="7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rPr/>
            </w:pPr>
            <w:r>
              <w:rPr/>
              <w:t>Не присвоен</w:t>
            </w:r>
          </w:p>
        </w:tc>
      </w:tr>
      <w:tr>
        <w:trPr>
          <w:trHeight w:val="350" w:hRule="atLeast"/>
        </w:trPr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rPr/>
            </w:pPr>
            <w:r>
              <w:rPr/>
              <w:t>Содержание</w:t>
            </w:r>
          </w:p>
        </w:tc>
        <w:tc>
          <w:tcPr>
            <w:tcW w:w="7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rPr/>
            </w:pPr>
            <w:r>
              <w:rPr/>
              <w:t>Сведения содержат:</w:t>
            </w:r>
          </w:p>
          <w:p>
            <w:pPr>
              <w:pStyle w:val="Normal"/>
              <w:rPr/>
            </w:pPr>
            <w:r>
              <w:rPr/>
              <w:t xml:space="preserve">- Сведения о банковских счетах </w:t>
            </w:r>
            <w:r>
              <w:rPr>
                <w:iCs/>
              </w:rPr>
              <w:t>резидента</w:t>
            </w:r>
            <w:r>
              <w:rPr/>
              <w:t>;</w:t>
            </w:r>
          </w:p>
          <w:p>
            <w:pPr>
              <w:pStyle w:val="Normal"/>
              <w:rPr/>
            </w:pPr>
            <w:r>
              <w:rPr/>
              <w:t>- Сведения об организации;</w:t>
            </w:r>
          </w:p>
          <w:p>
            <w:pPr>
              <w:pStyle w:val="Normal"/>
              <w:rPr/>
            </w:pPr>
            <w:r>
              <w:rPr/>
              <w:t>- Сведения о банке.</w:t>
            </w:r>
          </w:p>
          <w:p>
            <w:pPr>
              <w:pStyle w:val="Normal"/>
              <w:rPr/>
            </w:pPr>
            <w:r>
              <w:rPr/>
              <w:t>А также информацию о результате приема:</w:t>
            </w:r>
          </w:p>
          <w:p>
            <w:pPr>
              <w:pStyle w:val="Normal"/>
              <w:rPr/>
            </w:pPr>
            <w:r>
              <w:rPr/>
              <w:t>- код обработки (в случае отрицательного результата приема).</w:t>
            </w:r>
          </w:p>
        </w:tc>
      </w:tr>
      <w:tr>
        <w:trPr>
          <w:trHeight w:val="350" w:hRule="atLeast"/>
        </w:trPr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>Поставщик</w:t>
            </w:r>
          </w:p>
        </w:tc>
        <w:tc>
          <w:tcPr>
            <w:tcW w:w="7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>Федеральная налоговая служба</w:t>
            </w:r>
          </w:p>
        </w:tc>
      </w:tr>
      <w:tr>
        <w:trPr>
          <w:trHeight w:val="710" w:hRule="atLeast"/>
        </w:trPr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Style25"/>
              <w:spacing w:before="120" w:after="120"/>
              <w:jc w:val="left"/>
              <w:rPr>
                <w:color w:val="00000A"/>
              </w:rPr>
            </w:pPr>
            <w:r>
              <w:rPr>
                <w:color w:val="00000A"/>
              </w:rPr>
              <w:t>Потребители</w:t>
            </w:r>
          </w:p>
        </w:tc>
        <w:tc>
          <w:tcPr>
            <w:tcW w:w="7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 xml:space="preserve">ФСБ </w:t>
            </w:r>
            <w:r>
              <w:rPr/>
              <w:t>России</w:t>
            </w:r>
            <w:r>
              <w:rPr/>
              <w:t>, Генеральная прокуратура Р</w:t>
            </w:r>
            <w:r>
              <w:rPr/>
              <w:t xml:space="preserve">оссийской </w:t>
            </w:r>
            <w:r>
              <w:rPr/>
              <w:t>Ф</w:t>
            </w:r>
            <w:r>
              <w:rPr/>
              <w:t>едерации</w:t>
            </w:r>
            <w:r>
              <w:rPr/>
              <w:t xml:space="preserve">, ФСО </w:t>
            </w:r>
            <w:r>
              <w:rPr/>
              <w:t>России, Росфинмониторинг, Судебный департамент при Верховном суде Российской Федерации</w:t>
            </w:r>
          </w:p>
        </w:tc>
      </w:tr>
      <w:tr>
        <w:trPr>
          <w:trHeight w:val="710" w:hRule="atLeast"/>
        </w:trPr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>Область применения</w:t>
            </w:r>
          </w:p>
        </w:tc>
        <w:tc>
          <w:tcPr>
            <w:tcW w:w="7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>Межведомственное взаимодействие</w:t>
            </w:r>
          </w:p>
        </w:tc>
      </w:tr>
      <w:tr>
        <w:trPr>
          <w:trHeight w:val="397" w:hRule="atLeast"/>
        </w:trPr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 xml:space="preserve">Тип запроса </w:t>
            </w:r>
          </w:p>
        </w:tc>
        <w:tc>
          <w:tcPr>
            <w:tcW w:w="7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 xml:space="preserve">Запрос </w:t>
            </w:r>
          </w:p>
        </w:tc>
      </w:tr>
      <w:tr>
        <w:trPr>
          <w:trHeight w:val="684" w:hRule="atLeast"/>
        </w:trPr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>Тип маршрутизации</w:t>
            </w:r>
          </w:p>
        </w:tc>
        <w:tc>
          <w:tcPr>
            <w:tcW w:w="7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 xml:space="preserve">Фиксированная </w:t>
            </w:r>
          </w:p>
        </w:tc>
      </w:tr>
      <w:tr>
        <w:trPr>
          <w:trHeight w:val="397" w:hRule="atLeast"/>
        </w:trPr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>Версия ВС*</w:t>
            </w:r>
          </w:p>
        </w:tc>
        <w:tc>
          <w:tcPr>
            <w:tcW w:w="7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>4.0.1</w:t>
            </w:r>
          </w:p>
        </w:tc>
      </w:tr>
      <w:tr>
        <w:trPr>
          <w:trHeight w:val="391" w:hRule="atLeast"/>
        </w:trPr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>Версия МР</w:t>
            </w:r>
          </w:p>
        </w:tc>
        <w:tc>
          <w:tcPr>
            <w:tcW w:w="7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>3.0</w:t>
            </w:r>
          </w:p>
        </w:tc>
      </w:tr>
    </w:tbl>
    <w:p>
      <w:pPr>
        <w:pStyle w:val="Normal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*Примечание: при разработке новой версии ВС в новой версии руководства пользователя обязательно необходимо отмечать (с комментариями) по тексту руководства сделанные изменения XSD-схем, XML-сообщений, тестовых сценариев и т.д. </w:t>
      </w:r>
    </w:p>
    <w:p>
      <w:pPr>
        <w:pStyle w:val="Normal"/>
        <w:rPr>
          <w:rFonts w:eastAsia="Times New Roman" w:cs="Times New Roman"/>
        </w:rPr>
      </w:pPr>
      <w:r>
        <w:rPr>
          <w:rFonts w:eastAsia="Times New Roman" w:cs="Times New Roman"/>
        </w:rPr>
      </w:r>
      <w:r>
        <w:br w:type="page"/>
      </w:r>
    </w:p>
    <w:p>
      <w:pPr>
        <w:pStyle w:val="1"/>
        <w:numPr>
          <w:ilvl w:val="0"/>
          <w:numId w:val="2"/>
        </w:numPr>
        <w:rPr/>
      </w:pPr>
      <w:bookmarkStart w:id="10" w:name="_Toc452391212"/>
      <w:bookmarkStart w:id="11" w:name="_Toc432068032"/>
      <w:bookmarkStart w:id="12" w:name="_Toc3"/>
      <w:r>
        <w:rPr/>
        <w:t>СХЕМА ВИДА СВЕДЕНИЙ</w:t>
      </w:r>
      <w:bookmarkEnd w:id="12"/>
      <w:r>
        <w:rPr/>
        <w:t xml:space="preserve"> И ЭТАЛОННЫЕ ЗАПРОСЫ И ОТВЕТЫ</w:t>
      </w:r>
      <w:bookmarkEnd w:id="10"/>
      <w:bookmarkEnd w:id="11"/>
    </w:p>
    <w:p>
      <w:pPr>
        <w:pStyle w:val="2"/>
        <w:numPr>
          <w:ilvl w:val="1"/>
          <w:numId w:val="2"/>
        </w:numPr>
        <w:rPr/>
      </w:pPr>
      <w:bookmarkStart w:id="13" w:name="_Toc452391213"/>
      <w:bookmarkStart w:id="14" w:name="_Toc432068033"/>
      <w:r>
        <w:rPr/>
        <w:t>Схема вида сведений</w:t>
      </w:r>
      <w:bookmarkEnd w:id="13"/>
      <w:bookmarkEnd w:id="14"/>
    </w:p>
    <w:p>
      <w:pPr>
        <w:pStyle w:val="Normal"/>
        <w:ind w:firstLine="851"/>
        <w:rPr/>
      </w:pPr>
      <w:r>
        <w:rPr/>
        <w:t>Основная схема «название.</w:t>
      </w:r>
      <w:r>
        <w:rPr>
          <w:rFonts w:cs="Times New Roman"/>
          <w:lang w:val="en-US"/>
        </w:rPr>
        <w:t>xsd</w:t>
      </w:r>
      <w:r>
        <w:rPr/>
        <w:t>»: fns-bankaccinul-ru-root.xsd</w:t>
      </w:r>
    </w:p>
    <w:tbl>
      <w:tblPr>
        <w:tblStyle w:val="TableNormal"/>
        <w:tblW w:w="9385" w:type="dxa"/>
        <w:jc w:val="left"/>
        <w:tblInd w:w="78" w:type="dxa"/>
        <w:tblBorders>
          <w:top w:val="single" w:sz="4" w:space="0" w:color="000001"/>
          <w:left w:val="single" w:sz="4" w:space="0" w:color="000001"/>
          <w:bottom w:val="single" w:sz="2" w:space="0" w:color="000001"/>
          <w:right w:val="single" w:sz="4" w:space="0" w:color="000001"/>
          <w:insideH w:val="single" w:sz="2" w:space="0" w:color="000001"/>
          <w:insideV w:val="single" w:sz="4" w:space="0" w:color="000001"/>
        </w:tblBorders>
        <w:tblCellMar>
          <w:top w:w="80" w:type="dxa"/>
          <w:left w:w="75" w:type="dxa"/>
          <w:bottom w:w="80" w:type="dxa"/>
          <w:right w:w="80" w:type="dxa"/>
        </w:tblCellMar>
        <w:tblLook w:noVBand="1" w:val="04a0" w:noHBand="0" w:lastColumn="0" w:firstColumn="1" w:lastRow="0" w:firstRow="1"/>
      </w:tblPr>
      <w:tblGrid>
        <w:gridCol w:w="9385"/>
      </w:tblGrid>
      <w:tr>
        <w:trPr>
          <w:trHeight w:val="567" w:hRule="atLeast"/>
        </w:trPr>
        <w:tc>
          <w:tcPr>
            <w:tcW w:w="9385" w:type="dxa"/>
            <w:tcBorders>
              <w:top w:val="single" w:sz="4" w:space="0" w:color="000001"/>
              <w:left w:val="single" w:sz="4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xmlns:xs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http://www.w3.org/2001/XMLSchema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urn://x-artefacts-fns-bankaccinul/root/171-06/4.0.1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xmlns:fnst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urn://x-artefacts-fns-bankaccinul/types/4.0.1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urn://x-artefacts-fns-bankaccinul/root/171-06/4.0.1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qualified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attributeFormDefault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unqualified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urn://x-artefacts-fns-bankaccinul/types/4.0.1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./commons/fns-bankaccinul-types.xsd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BankAccInULRequest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Запрос сведений о счетах резидентов – организаций, открытых в банках, расположенных за пределами территории Российской Федерации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СвОрг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Сведения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об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организации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ИННЮЛ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fnst:LegalPersonINNType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ИНН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организации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КПП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fnst:KPPType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optional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КПП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организации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ОГРН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fnst:OGRNCompanyType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ОГРН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организации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ДатаОткрНД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xs:date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optional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Дата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открытия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счета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-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начало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диапазона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ДатаОткрКД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xs:date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optional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Дата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открытия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счета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-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конец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диапазона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СостСчет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optional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Код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состояния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счета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fnst:string-1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BankAccInULResponse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Ответ на запрос сведений о счетах резидентов – организаций, открытых в банках, расположенных за пределами территории Российской Федерации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БанкСчетОрг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Сведения о счетах резидентов – организаций, открытых в банках, расположенных за пределами территории Российской Федерации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СведСчет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unbounded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Сведения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о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счетах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в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банке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НомСчет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fnst:string-36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Номер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счета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ДатаОткр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xs:date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optional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Дата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открытия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счета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ДатаЗакр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xs:date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optional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Дата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закрытия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счета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НаимБанк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fnst:string-255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Наименование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банка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SWIFT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fnst:string-25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Код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SWIFT BIC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ОКСМ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fnst:OKCMType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Цифровой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код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страны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банка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по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ОКСМ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ПерДатаНач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xs:date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optional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За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период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-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начало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диапазона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ПерДатаКон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xs:date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optional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За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период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-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конец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диапазона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ИННЮЛ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fnst:LegalPersonINNType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ИНН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организации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КПП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fnst:KPPType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optional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КПП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организации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ОГРН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fnst:OGRNCompanyType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ОГРН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организации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НаимОрг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fnst:string-1000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Полное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наименование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организации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TreatmentCode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Код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обработки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fnst:digits-2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cs="Times New Roman"/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cs="Times New Roman"/>
                <w:i/>
                <w:iCs/>
                <w:sz w:val="18"/>
                <w:szCs w:val="18"/>
                <w:lang w:val="en-US"/>
              </w:rPr>
            </w:r>
          </w:p>
        </w:tc>
      </w:tr>
    </w:tbl>
    <w:p>
      <w:pPr>
        <w:pStyle w:val="Normal"/>
        <w:spacing w:before="120" w:after="0"/>
        <w:ind w:firstLine="851"/>
        <w:rPr>
          <w:lang w:val="en-US"/>
        </w:rPr>
      </w:pPr>
      <w:r>
        <w:rPr>
          <w:lang w:val="en-US"/>
        </w:rPr>
      </w:r>
    </w:p>
    <w:p>
      <w:pPr>
        <w:pStyle w:val="Normal"/>
        <w:spacing w:before="120" w:after="0"/>
        <w:ind w:firstLine="851"/>
        <w:rPr>
          <w:lang w:val="en-US"/>
        </w:rPr>
      </w:pPr>
      <w:r>
        <w:rPr/>
        <w:t>Импортированная</w:t>
      </w:r>
      <w:r>
        <w:rPr>
          <w:lang w:val="en-US"/>
        </w:rPr>
        <w:t xml:space="preserve"> </w:t>
      </w:r>
      <w:r>
        <w:rPr/>
        <w:t>схема</w:t>
      </w:r>
      <w:r>
        <w:rPr>
          <w:lang w:val="en-US"/>
        </w:rPr>
        <w:t xml:space="preserve"> «</w:t>
      </w:r>
      <w:r>
        <w:rPr/>
        <w:t>название</w:t>
      </w:r>
      <w:r>
        <w:rPr>
          <w:rFonts w:cs="Times New Roman"/>
          <w:lang w:val="en-US"/>
        </w:rPr>
        <w:t>.xsd</w:t>
      </w:r>
      <w:r>
        <w:rPr>
          <w:lang w:val="en-US"/>
        </w:rPr>
        <w:t>»:fns-bankaccinul-types.xsd</w:t>
      </w:r>
    </w:p>
    <w:tbl>
      <w:tblPr>
        <w:tblStyle w:val="TableNormal"/>
        <w:tblW w:w="9385" w:type="dxa"/>
        <w:jc w:val="left"/>
        <w:tblInd w:w="78" w:type="dxa"/>
        <w:tblBorders>
          <w:top w:val="single" w:sz="4" w:space="0" w:color="000001"/>
          <w:left w:val="single" w:sz="4" w:space="0" w:color="000001"/>
          <w:bottom w:val="single" w:sz="2" w:space="0" w:color="000001"/>
          <w:right w:val="single" w:sz="4" w:space="0" w:color="000001"/>
          <w:insideH w:val="single" w:sz="2" w:space="0" w:color="000001"/>
          <w:insideV w:val="single" w:sz="4" w:space="0" w:color="000001"/>
        </w:tblBorders>
        <w:tblCellMar>
          <w:top w:w="80" w:type="dxa"/>
          <w:left w:w="75" w:type="dxa"/>
          <w:bottom w:w="80" w:type="dxa"/>
          <w:right w:w="80" w:type="dxa"/>
        </w:tblCellMar>
        <w:tblLook w:noVBand="1" w:val="04a0" w:noHBand="0" w:lastColumn="0" w:firstColumn="1" w:lastRow="0" w:firstRow="1"/>
      </w:tblPr>
      <w:tblGrid>
        <w:gridCol w:w="9385"/>
      </w:tblGrid>
      <w:tr>
        <w:trPr>
          <w:trHeight w:val="567" w:hRule="atLeast"/>
        </w:trPr>
        <w:tc>
          <w:tcPr>
            <w:tcW w:w="9385" w:type="dxa"/>
            <w:tcBorders>
              <w:top w:val="single" w:sz="4" w:space="0" w:color="000001"/>
              <w:left w:val="single" w:sz="4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xmlns:xs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http://www.w3.org/2001/XMLSchema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xmlns:fns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urn://x-artefacts-fns-bankaccinul/types/4.0.1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urn://x-artefacts-fns-bankaccinul/types/4.0.1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qualified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attributeFormDefault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unqualified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&lt;!--</w:t>
            </w:r>
            <w:r>
              <w:rPr>
                <w:rFonts w:cs="Arial" w:ascii="Arial" w:hAnsi="Arial"/>
                <w:color w:val="808080"/>
                <w:sz w:val="20"/>
                <w:szCs w:val="20"/>
                <w:highlight w:val="white"/>
                <w:lang w:val="en-US"/>
              </w:rPr>
              <w:t xml:space="preserve">==========================================  </w:t>
            </w:r>
            <w:r>
              <w:rPr>
                <w:rFonts w:cs="Arial" w:ascii="Arial" w:hAnsi="Arial"/>
                <w:color w:val="808080"/>
                <w:sz w:val="20"/>
                <w:szCs w:val="20"/>
                <w:highlight w:val="white"/>
              </w:rPr>
              <w:t>Структурированные</w:t>
            </w:r>
            <w:r>
              <w:rPr>
                <w:rFonts w:cs="Arial" w:ascii="Arial" w:hAnsi="Arial"/>
                <w:color w:val="80808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808080"/>
                <w:sz w:val="20"/>
                <w:szCs w:val="20"/>
                <w:highlight w:val="white"/>
              </w:rPr>
              <w:t>типы</w:t>
            </w:r>
            <w:r>
              <w:rPr>
                <w:rFonts w:cs="Arial" w:ascii="Arial" w:hAnsi="Arial"/>
                <w:color w:val="808080"/>
                <w:sz w:val="20"/>
                <w:szCs w:val="20"/>
                <w:highlight w:val="white"/>
                <w:lang w:val="en-US"/>
              </w:rPr>
              <w:t xml:space="preserve">  ==========================================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--&gt;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KPPType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: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 xml:space="preserve">Код причины постановки на учет (КПП) 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: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9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([0-9]{1}[1-9]{1}|[1-9]{1}[0-9]{1})([0-9]{2})([0-9A-F]{2})([0-9]{3})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OGRNCompanyType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ОГРН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юридического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лица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13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[125]{1}\d{12}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LegalPersonINNType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Идентификационный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номер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налогоплательщика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-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организации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10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([0-9]{1}[1-9]{1}|[1-9]{1}[0-9]{1})[0-9]{8}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OKCMType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Код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Общероссийского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классификатора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стран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мира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(3-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разрядный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цифровой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)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Содержит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только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цифры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3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\d{3}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digits-2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Строка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состоящая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из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2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цифр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Содержит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только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цифры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2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\d{2}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digits-9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Строка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состоящая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из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9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цифр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Содержит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только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цифры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9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\d{9}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digits-1_4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Строка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содержащая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от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одной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до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четырёх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цифр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Содержит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только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цифры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4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\d{1,4}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string-1000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Произвольный текст длиной от 1 до 1000 символов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1000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string-255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Произвольный текст длиной от 1 до 255 символов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255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string-36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Произвольный текст длиной от 1 до 36 символов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36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string-25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Произвольный текст длиной от 1 до 25 символов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25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string-20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Произвольный текст длиной от 1 до 20 символов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20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string-12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Произвольный текст длиной от 1 до 12 символов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12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string-10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Произвольный текст длиной от 1 до 10 символов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10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string-7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Текст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длиной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ровно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7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символов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7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string-5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Текст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длиной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ровно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5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символов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5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string-2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Текст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длиной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ровно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2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символа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2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string-1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Текст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длиной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ровно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 xml:space="preserve"> 1 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символ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xs:schema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cs="Times New Roman"/>
                <w:i/>
                <w:i/>
                <w:iCs/>
                <w:sz w:val="18"/>
                <w:szCs w:val="18"/>
              </w:rPr>
            </w:pPr>
            <w:r>
              <w:rPr>
                <w:rFonts w:cs="Times New Roman"/>
                <w:i/>
                <w:iCs/>
                <w:sz w:val="18"/>
                <w:szCs w:val="18"/>
              </w:rPr>
            </w:r>
          </w:p>
        </w:tc>
      </w:tr>
    </w:tbl>
    <w:p>
      <w:pPr>
        <w:pStyle w:val="2"/>
        <w:numPr>
          <w:ilvl w:val="1"/>
          <w:numId w:val="2"/>
        </w:numPr>
        <w:rPr/>
      </w:pPr>
      <w:bookmarkStart w:id="15" w:name="_Toc452391214"/>
      <w:bookmarkStart w:id="16" w:name="_Toc432068034"/>
      <w:r>
        <w:rPr/>
        <w:t>Эталонные запросы и ответы</w:t>
      </w:r>
      <w:bookmarkEnd w:id="15"/>
      <w:bookmarkEnd w:id="16"/>
    </w:p>
    <w:p>
      <w:pPr>
        <w:pStyle w:val="Normal"/>
        <w:ind w:firstLine="708"/>
        <w:rPr>
          <w:rFonts w:eastAsia="Times New Roman" w:cs="Times New Roman"/>
        </w:rPr>
      </w:pPr>
      <w:r>
        <w:rPr>
          <w:rFonts w:eastAsia="Times New Roman" w:cs="Times New Roman"/>
        </w:rPr>
        <w:t>1. Эталонный запрос на предоставление сведений о банковских счетах резидентов – организаций, открытых в банках, расположенных за пределами территории Российской Федерации и успешное получение сведений:</w:t>
      </w:r>
    </w:p>
    <w:p>
      <w:pPr>
        <w:pStyle w:val="Normal"/>
        <w:ind w:firstLine="708"/>
        <w:rPr>
          <w:rFonts w:eastAsia="Times New Roman" w:cs="Times New Roman"/>
        </w:rPr>
      </w:pPr>
      <w:r>
        <w:rPr>
          <w:rFonts w:eastAsia="Times New Roman" w:cs="Times New Roman"/>
        </w:rPr>
      </w:r>
    </w:p>
    <w:tbl>
      <w:tblPr>
        <w:tblStyle w:val="TableNormal"/>
        <w:tblW w:w="9385" w:type="dxa"/>
        <w:jc w:val="left"/>
        <w:tblInd w:w="78" w:type="dxa"/>
        <w:tblBorders>
          <w:top w:val="single" w:sz="4" w:space="0" w:color="000001"/>
          <w:left w:val="single" w:sz="4" w:space="0" w:color="000001"/>
          <w:bottom w:val="single" w:sz="2" w:space="0" w:color="000001"/>
          <w:right w:val="single" w:sz="4" w:space="0" w:color="000001"/>
          <w:insideH w:val="single" w:sz="2" w:space="0" w:color="000001"/>
          <w:insideV w:val="single" w:sz="4" w:space="0" w:color="000001"/>
        </w:tblBorders>
        <w:tblCellMar>
          <w:top w:w="80" w:type="dxa"/>
          <w:left w:w="75" w:type="dxa"/>
          <w:bottom w:w="80" w:type="dxa"/>
          <w:right w:w="80" w:type="dxa"/>
        </w:tblCellMar>
        <w:tblLook w:noVBand="1" w:val="04a0" w:noHBand="0" w:lastColumn="0" w:firstColumn="1" w:lastRow="0" w:firstRow="1"/>
      </w:tblPr>
      <w:tblGrid>
        <w:gridCol w:w="9385"/>
      </w:tblGrid>
      <w:tr>
        <w:trPr>
          <w:trHeight w:val="567" w:hRule="atLeast"/>
        </w:trPr>
        <w:tc>
          <w:tcPr>
            <w:tcW w:w="9385" w:type="dxa"/>
            <w:tcBorders>
              <w:top w:val="single" w:sz="4" w:space="0" w:color="000001"/>
              <w:left w:val="single" w:sz="4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tns:BankAccInULRequest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>ДатаОткрНД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2000-01-01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urn://x-artefacts-fns-bankaccinul/root/171-06/4.0.1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tns:СвОрг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ОГРН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1024800823123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ИННЮЛ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4823006703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КПП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482201001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tns:BankAccInULRequest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cs="Times New Roman"/>
                <w:i/>
                <w:i/>
                <w:iCs/>
                <w:sz w:val="22"/>
                <w:szCs w:val="22"/>
                <w:highlight w:val="yellow"/>
              </w:rPr>
            </w:pPr>
            <w:r>
              <w:rPr>
                <w:rFonts w:cs="Times New Roman"/>
                <w:i/>
                <w:iCs/>
                <w:sz w:val="22"/>
                <w:szCs w:val="22"/>
                <w:highlight w:val="yellow"/>
              </w:rPr>
            </w:r>
          </w:p>
        </w:tc>
      </w:tr>
    </w:tbl>
    <w:p>
      <w:pPr>
        <w:pStyle w:val="Normal"/>
        <w:ind w:firstLine="708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ind w:firstLine="708"/>
        <w:rPr>
          <w:rFonts w:cs="Times New Roman"/>
        </w:rPr>
      </w:pPr>
      <w:r>
        <w:rPr>
          <w:rFonts w:cs="Times New Roman"/>
        </w:rPr>
        <w:t>Эталонный ответ:</w:t>
      </w:r>
    </w:p>
    <w:p>
      <w:pPr>
        <w:pStyle w:val="Normal"/>
        <w:ind w:firstLine="708"/>
        <w:rPr>
          <w:rFonts w:cs="Times New Roman"/>
        </w:rPr>
      </w:pPr>
      <w:r>
        <w:rPr>
          <w:rFonts w:cs="Times New Roman"/>
        </w:rPr>
      </w:r>
    </w:p>
    <w:tbl>
      <w:tblPr>
        <w:tblStyle w:val="TableNormal"/>
        <w:tblW w:w="9385" w:type="dxa"/>
        <w:jc w:val="left"/>
        <w:tblInd w:w="78" w:type="dxa"/>
        <w:tblBorders>
          <w:top w:val="single" w:sz="4" w:space="0" w:color="000001"/>
          <w:left w:val="single" w:sz="4" w:space="0" w:color="000001"/>
          <w:bottom w:val="single" w:sz="2" w:space="0" w:color="000001"/>
          <w:right w:val="single" w:sz="4" w:space="0" w:color="000001"/>
          <w:insideH w:val="single" w:sz="2" w:space="0" w:color="000001"/>
          <w:insideV w:val="single" w:sz="4" w:space="0" w:color="000001"/>
        </w:tblBorders>
        <w:tblCellMar>
          <w:top w:w="80" w:type="dxa"/>
          <w:left w:w="75" w:type="dxa"/>
          <w:bottom w:w="80" w:type="dxa"/>
          <w:right w:w="80" w:type="dxa"/>
        </w:tblCellMar>
        <w:tblLook w:noVBand="1" w:val="04a0" w:noHBand="0" w:lastColumn="0" w:firstColumn="1" w:lastRow="0" w:firstRow="1"/>
      </w:tblPr>
      <w:tblGrid>
        <w:gridCol w:w="9385"/>
      </w:tblGrid>
      <w:tr>
        <w:trPr>
          <w:trHeight w:val="567" w:hRule="atLeast"/>
        </w:trPr>
        <w:tc>
          <w:tcPr>
            <w:tcW w:w="9385" w:type="dxa"/>
            <w:tcBorders>
              <w:top w:val="single" w:sz="4" w:space="0" w:color="000001"/>
              <w:left w:val="single" w:sz="4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tns:BankAccInULResponse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urn://x-artefacts-fns-bankaccinul/root/171-06/4.0.1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tns:БанкСчетОрг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ПерДатаНач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2000-01-01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ОГРН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1024800823123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ИННЮЛ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4823006703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НаимОрг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ОТКРЫТОЕ АКЦИОНЕРНОЕ ОБЩЕСТВО &amp;quot;НОВОЛИПЕЦКИЙ МЕТАЛЛУРГИЧЕСКИЙ КОМБИНАТ&amp;quot;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КПП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482201001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tns:СведСчет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НаимБанк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SCHOELLERBANK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ДатаОткр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2011-02-10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НомСчет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83718191008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ОКСМ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040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SWIFT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SCHOATWW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tns:СведСчет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ДатаЗакр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2014-06-12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НаимБанк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SOCIETE GENERALE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ДатаОткр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2010-05-10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НомСчет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FR7630003030020005055676108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ОКСМ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250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SWIFT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SOGEFRPP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tns:БанкСчетОрг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tns:BankAccInULResponse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cs="Times New Roman"/>
                <w:i/>
                <w:i/>
                <w:iCs/>
                <w:sz w:val="22"/>
                <w:szCs w:val="22"/>
              </w:rPr>
            </w:pPr>
            <w:r>
              <w:rPr>
                <w:rFonts w:cs="Times New Roman"/>
                <w:i/>
                <w:iCs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ind w:firstLine="708"/>
        <w:rPr>
          <w:rFonts w:eastAsia="Times New Roman" w:cs="Times New Roman"/>
        </w:rPr>
      </w:pPr>
      <w:r>
        <w:rPr>
          <w:rFonts w:eastAsia="Times New Roman" w:cs="Times New Roman"/>
        </w:rPr>
        <w:t>2. Эталонный запрос на предоставление сведений</w:t>
      </w:r>
      <w:r>
        <w:rPr/>
        <w:t xml:space="preserve"> </w:t>
      </w:r>
      <w:r>
        <w:rPr>
          <w:rFonts w:eastAsia="Times New Roman" w:cs="Times New Roman"/>
        </w:rPr>
        <w:t>о банковских счетах резидентов – организаций, открытых в банках, расположенных за пределами территории Российской Федерации с некорректной датой открытия счета:</w:t>
      </w:r>
    </w:p>
    <w:p>
      <w:pPr>
        <w:pStyle w:val="Normal"/>
        <w:rPr/>
      </w:pPr>
      <w:r>
        <w:rPr/>
      </w:r>
    </w:p>
    <w:tbl>
      <w:tblPr>
        <w:tblStyle w:val="TableNormal"/>
        <w:tblW w:w="9385" w:type="dxa"/>
        <w:jc w:val="left"/>
        <w:tblInd w:w="78" w:type="dxa"/>
        <w:tblBorders>
          <w:top w:val="single" w:sz="4" w:space="0" w:color="000001"/>
          <w:left w:val="single" w:sz="4" w:space="0" w:color="000001"/>
          <w:bottom w:val="single" w:sz="2" w:space="0" w:color="000001"/>
          <w:right w:val="single" w:sz="4" w:space="0" w:color="000001"/>
          <w:insideH w:val="single" w:sz="2" w:space="0" w:color="000001"/>
          <w:insideV w:val="single" w:sz="4" w:space="0" w:color="000001"/>
        </w:tblBorders>
        <w:tblCellMar>
          <w:top w:w="80" w:type="dxa"/>
          <w:left w:w="75" w:type="dxa"/>
          <w:bottom w:w="80" w:type="dxa"/>
          <w:right w:w="80" w:type="dxa"/>
        </w:tblCellMar>
        <w:tblLook w:noVBand="1" w:val="04a0" w:noHBand="0" w:lastColumn="0" w:firstColumn="1" w:lastRow="0" w:firstRow="1"/>
      </w:tblPr>
      <w:tblGrid>
        <w:gridCol w:w="9385"/>
      </w:tblGrid>
      <w:tr>
        <w:trPr>
          <w:trHeight w:val="567" w:hRule="atLeast"/>
        </w:trPr>
        <w:tc>
          <w:tcPr>
            <w:tcW w:w="9385" w:type="dxa"/>
            <w:tcBorders>
              <w:top w:val="single" w:sz="4" w:space="0" w:color="000001"/>
              <w:left w:val="single" w:sz="4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tns:BankAccInULRequest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>ДатаОткрНД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2030-02-12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>ДатаОткрКД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2013-01-01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urn://x-artefacts-fns-bankaccinul/root/171-06/4.0.1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tns:СвОрг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ОГРН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1022301071132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ИННЮЛ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6164275816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КПП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616301001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tns:BankAccInULRequest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cs="Times New Roman"/>
                <w:i/>
                <w:i/>
                <w:iCs/>
                <w:sz w:val="22"/>
                <w:szCs w:val="22"/>
                <w:highlight w:val="yellow"/>
              </w:rPr>
            </w:pPr>
            <w:r>
              <w:rPr>
                <w:rFonts w:cs="Times New Roman"/>
                <w:i/>
                <w:iCs/>
                <w:sz w:val="22"/>
                <w:szCs w:val="22"/>
                <w:highlight w:val="yellow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Эталонный ответ:</w:t>
      </w:r>
    </w:p>
    <w:p>
      <w:pPr>
        <w:pStyle w:val="Normal"/>
        <w:rPr/>
      </w:pPr>
      <w:r>
        <w:rPr/>
      </w:r>
    </w:p>
    <w:tbl>
      <w:tblPr>
        <w:tblStyle w:val="TableNormal"/>
        <w:tblW w:w="9385" w:type="dxa"/>
        <w:jc w:val="left"/>
        <w:tblInd w:w="78" w:type="dxa"/>
        <w:tblBorders>
          <w:top w:val="single" w:sz="4" w:space="0" w:color="000001"/>
          <w:left w:val="single" w:sz="4" w:space="0" w:color="000001"/>
          <w:bottom w:val="single" w:sz="2" w:space="0" w:color="000001"/>
          <w:right w:val="single" w:sz="4" w:space="0" w:color="000001"/>
          <w:insideH w:val="single" w:sz="2" w:space="0" w:color="000001"/>
          <w:insideV w:val="single" w:sz="4" w:space="0" w:color="000001"/>
        </w:tblBorders>
        <w:tblCellMar>
          <w:top w:w="80" w:type="dxa"/>
          <w:left w:w="75" w:type="dxa"/>
          <w:bottom w:w="80" w:type="dxa"/>
          <w:right w:w="80" w:type="dxa"/>
        </w:tblCellMar>
        <w:tblLook w:noVBand="1" w:val="04a0" w:noHBand="0" w:lastColumn="0" w:firstColumn="1" w:lastRow="0" w:firstRow="1"/>
      </w:tblPr>
      <w:tblGrid>
        <w:gridCol w:w="9385"/>
      </w:tblGrid>
      <w:tr>
        <w:trPr>
          <w:trHeight w:val="567" w:hRule="atLeast"/>
        </w:trPr>
        <w:tc>
          <w:tcPr>
            <w:tcW w:w="9385" w:type="dxa"/>
            <w:tcBorders>
              <w:top w:val="single" w:sz="4" w:space="0" w:color="000001"/>
              <w:left w:val="single" w:sz="4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tns:BankAccInULResponse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urn://x-artefacts-fns-bankaccinul/root/171-06/4.0.1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tns:TreatmentCode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55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tns:TreatmentCode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tns:BankAccInULResponse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cs="Times New Roman"/>
                <w:i/>
                <w:i/>
                <w:iCs/>
                <w:sz w:val="22"/>
                <w:szCs w:val="22"/>
                <w:lang w:val="en-US"/>
              </w:rPr>
            </w:pPr>
            <w:r>
              <w:rPr>
                <w:rFonts w:cs="Times New Roman"/>
                <w:i/>
                <w:iCs/>
                <w:sz w:val="22"/>
                <w:szCs w:val="22"/>
                <w:lang w:val="en-US"/>
              </w:rPr>
            </w:r>
          </w:p>
        </w:tc>
      </w:tr>
    </w:tbl>
    <w:p>
      <w:pPr>
        <w:pStyle w:val="ListParagraph"/>
        <w:ind w:left="1440" w:hanging="0"/>
        <w:rPr>
          <w:rFonts w:eastAsia="Times New Roman" w:cs="Times New Roman"/>
          <w:lang w:val="en-US"/>
        </w:rPr>
      </w:pPr>
      <w:r>
        <w:rPr>
          <w:rFonts w:eastAsia="Times New Roman" w:cs="Times New Roman"/>
          <w:lang w:val="en-US"/>
        </w:rPr>
      </w:r>
    </w:p>
    <w:p>
      <w:pPr>
        <w:pStyle w:val="Normal"/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</w:r>
    </w:p>
    <w:p>
      <w:pPr>
        <w:pStyle w:val="Normal"/>
        <w:keepNext w:val="true"/>
        <w:ind w:firstLine="709"/>
        <w:rPr>
          <w:rFonts w:eastAsia="Times New Roman" w:cs="Times New Roman"/>
        </w:rPr>
      </w:pPr>
      <w:r>
        <w:rPr>
          <w:rFonts w:eastAsia="Times New Roman" w:cs="Times New Roman"/>
        </w:rPr>
        <w:t>3. Эталонный запрос на предоставление сведений</w:t>
      </w:r>
      <w:r>
        <w:rPr/>
        <w:t xml:space="preserve"> </w:t>
      </w:r>
      <w:r>
        <w:rPr>
          <w:rFonts w:eastAsia="Times New Roman" w:cs="Times New Roman"/>
        </w:rPr>
        <w:t>о банковских счетах резидентов – организаций, открытых в банках, расположенных за пределами территории Российской Федерации c неверным контрольным разрядом ИНН:</w:t>
      </w:r>
    </w:p>
    <w:p>
      <w:pPr>
        <w:pStyle w:val="ListParagraph"/>
        <w:keepNext w:val="true"/>
        <w:ind w:left="2160" w:hanging="0"/>
        <w:rPr>
          <w:rFonts w:eastAsia="Times New Roman" w:cs="Times New Roman"/>
        </w:rPr>
      </w:pPr>
      <w:r>
        <w:rPr>
          <w:rFonts w:eastAsia="Times New Roman" w:cs="Times New Roman"/>
        </w:rPr>
      </w:r>
    </w:p>
    <w:tbl>
      <w:tblPr>
        <w:tblStyle w:val="TableNormal"/>
        <w:tblW w:w="9385" w:type="dxa"/>
        <w:jc w:val="left"/>
        <w:tblInd w:w="78" w:type="dxa"/>
        <w:tblBorders>
          <w:top w:val="single" w:sz="4" w:space="0" w:color="000001"/>
          <w:left w:val="single" w:sz="4" w:space="0" w:color="000001"/>
          <w:bottom w:val="single" w:sz="2" w:space="0" w:color="000001"/>
          <w:right w:val="single" w:sz="4" w:space="0" w:color="000001"/>
          <w:insideH w:val="single" w:sz="2" w:space="0" w:color="000001"/>
          <w:insideV w:val="single" w:sz="4" w:space="0" w:color="000001"/>
        </w:tblBorders>
        <w:tblCellMar>
          <w:top w:w="80" w:type="dxa"/>
          <w:left w:w="75" w:type="dxa"/>
          <w:bottom w:w="80" w:type="dxa"/>
          <w:right w:w="80" w:type="dxa"/>
        </w:tblCellMar>
        <w:tblLook w:noVBand="1" w:val="04a0" w:noHBand="0" w:lastColumn="0" w:firstColumn="1" w:lastRow="0" w:firstRow="1"/>
      </w:tblPr>
      <w:tblGrid>
        <w:gridCol w:w="9385"/>
      </w:tblGrid>
      <w:tr>
        <w:trPr>
          <w:trHeight w:val="567" w:hRule="atLeast"/>
        </w:trPr>
        <w:tc>
          <w:tcPr>
            <w:tcW w:w="9385" w:type="dxa"/>
            <w:tcBorders>
              <w:top w:val="single" w:sz="4" w:space="0" w:color="000001"/>
              <w:left w:val="single" w:sz="4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tns:BankAccInULRequest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>ДатаОткрНД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2000-01-01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>ДатаОткрКД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2009-01-01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urn://x-artefacts-fns-bankaccinul/root/171-06/4.0.1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tns:СвОрг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ОГРН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1022301071132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ИННЮЛ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6164275815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КПП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616301001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tns:BankAccInULRequest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cs="Times New Roman"/>
                <w:i/>
                <w:i/>
                <w:iCs/>
                <w:sz w:val="22"/>
                <w:szCs w:val="22"/>
                <w:highlight w:val="yellow"/>
              </w:rPr>
            </w:pPr>
            <w:r>
              <w:rPr>
                <w:rFonts w:cs="Times New Roman"/>
                <w:i/>
                <w:iCs/>
                <w:sz w:val="22"/>
                <w:szCs w:val="22"/>
                <w:highlight w:val="yellow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Эталонный ответ:</w:t>
      </w:r>
    </w:p>
    <w:p>
      <w:pPr>
        <w:pStyle w:val="Normal"/>
        <w:rPr/>
      </w:pPr>
      <w:r>
        <w:rPr/>
      </w:r>
    </w:p>
    <w:tbl>
      <w:tblPr>
        <w:tblStyle w:val="TableNormal"/>
        <w:tblW w:w="9385" w:type="dxa"/>
        <w:jc w:val="left"/>
        <w:tblInd w:w="78" w:type="dxa"/>
        <w:tblBorders>
          <w:top w:val="single" w:sz="4" w:space="0" w:color="000001"/>
          <w:left w:val="single" w:sz="4" w:space="0" w:color="000001"/>
          <w:bottom w:val="single" w:sz="2" w:space="0" w:color="000001"/>
          <w:right w:val="single" w:sz="4" w:space="0" w:color="000001"/>
          <w:insideH w:val="single" w:sz="2" w:space="0" w:color="000001"/>
          <w:insideV w:val="single" w:sz="4" w:space="0" w:color="000001"/>
        </w:tblBorders>
        <w:tblCellMar>
          <w:top w:w="80" w:type="dxa"/>
          <w:left w:w="75" w:type="dxa"/>
          <w:bottom w:w="80" w:type="dxa"/>
          <w:right w:w="80" w:type="dxa"/>
        </w:tblCellMar>
        <w:tblLook w:noVBand="1" w:val="04a0" w:noHBand="0" w:lastColumn="0" w:firstColumn="1" w:lastRow="0" w:firstRow="1"/>
      </w:tblPr>
      <w:tblGrid>
        <w:gridCol w:w="9385"/>
      </w:tblGrid>
      <w:tr>
        <w:trPr>
          <w:trHeight w:val="567" w:hRule="atLeast"/>
        </w:trPr>
        <w:tc>
          <w:tcPr>
            <w:tcW w:w="9385" w:type="dxa"/>
            <w:tcBorders>
              <w:top w:val="single" w:sz="4" w:space="0" w:color="000001"/>
              <w:left w:val="single" w:sz="4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tns:BankAccInULResponse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urn://x-artefacts-fns-bankaccinul/root/171-06/4.0.1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tns:TreatmentCode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56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tns:TreatmentCode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tns:BankAccInULResponse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cs="Times New Roman"/>
                <w:i/>
                <w:i/>
                <w:iCs/>
                <w:sz w:val="22"/>
                <w:szCs w:val="22"/>
                <w:lang w:val="en-US"/>
              </w:rPr>
            </w:pPr>
            <w:r>
              <w:rPr>
                <w:rFonts w:cs="Times New Roman"/>
                <w:i/>
                <w:iCs/>
                <w:sz w:val="22"/>
                <w:szCs w:val="22"/>
                <w:lang w:val="en-US"/>
              </w:rPr>
            </w:r>
          </w:p>
        </w:tc>
      </w:tr>
    </w:tbl>
    <w:p>
      <w:pPr>
        <w:pStyle w:val="Normal"/>
        <w:keepNext w:val="true"/>
        <w:ind w:firstLine="709"/>
        <w:rPr>
          <w:rFonts w:eastAsia="Times New Roman" w:cs="Times New Roman"/>
          <w:lang w:val="en-US"/>
        </w:rPr>
      </w:pPr>
      <w:r>
        <w:rPr>
          <w:rFonts w:eastAsia="Times New Roman" w:cs="Times New Roman"/>
          <w:lang w:val="en-US"/>
        </w:rPr>
      </w:r>
    </w:p>
    <w:p>
      <w:pPr>
        <w:pStyle w:val="Normal"/>
        <w:jc w:val="both"/>
        <w:rPr>
          <w:rFonts w:cs="Times New Roman"/>
        </w:rPr>
      </w:pPr>
      <w:r>
        <w:rPr>
          <w:rFonts w:cs="Times New Roman"/>
        </w:rPr>
        <w:t>Примечание: указывается не полный конверт, а часть бизнес-данных запроса и ответа; если у вида сведений существует несколько пар эталонных запросов и ответов, тогда необходимо указывать их все, причем в связке запрос–ответ.</w:t>
      </w:r>
    </w:p>
    <w:p>
      <w:pPr>
        <w:pStyle w:val="Normal"/>
        <w:jc w:val="both"/>
        <w:rPr/>
      </w:pPr>
      <w:r>
        <w:rPr/>
      </w:r>
      <w:r>
        <w:br w:type="page"/>
      </w:r>
    </w:p>
    <w:p>
      <w:pPr>
        <w:pStyle w:val="1"/>
        <w:numPr>
          <w:ilvl w:val="0"/>
          <w:numId w:val="2"/>
        </w:numPr>
        <w:rPr/>
      </w:pPr>
      <w:bookmarkStart w:id="17" w:name="_Toc452391215"/>
      <w:bookmarkStart w:id="18" w:name="_Toc432068035"/>
      <w:r>
        <w:rPr/>
        <w:t>ТЕСТОВЫЕ СЦЕНАРИИ И КОНТОРОЛЬНЫЕ ПРИМЕРЫ</w:t>
      </w:r>
      <w:bookmarkEnd w:id="17"/>
      <w:bookmarkEnd w:id="18"/>
    </w:p>
    <w:p>
      <w:pPr>
        <w:pStyle w:val="2"/>
        <w:numPr>
          <w:ilvl w:val="1"/>
          <w:numId w:val="2"/>
        </w:numPr>
        <w:rPr/>
      </w:pPr>
      <w:bookmarkStart w:id="19" w:name="_Toc452391216"/>
      <w:bookmarkStart w:id="20" w:name="_Toc432068036"/>
      <w:r>
        <w:rPr/>
        <w:t>Тестовые сценарии</w:t>
      </w:r>
      <w:bookmarkEnd w:id="19"/>
      <w:bookmarkEnd w:id="20"/>
    </w:p>
    <w:p>
      <w:pPr>
        <w:pStyle w:val="3"/>
        <w:numPr>
          <w:ilvl w:val="2"/>
          <w:numId w:val="2"/>
        </w:numPr>
        <w:rPr/>
      </w:pPr>
      <w:bookmarkStart w:id="21" w:name="_Toc452391217"/>
      <w:r>
        <w:rPr/>
        <w:t>Сценарий 1: Размещение запроса на предоставление сведений о банковских счетах резидентов – организаций, открытых в банках, расположенных за пределами территории Российской Федерации и успешное получение сведений</w:t>
      </w:r>
      <w:bookmarkEnd w:id="21"/>
    </w:p>
    <w:p>
      <w:pPr>
        <w:pStyle w:val="Normal"/>
        <w:ind w:firstLine="851"/>
        <w:rPr>
          <w:rFonts w:cs="Times New Roman"/>
        </w:rPr>
      </w:pPr>
      <w:r>
        <w:rPr>
          <w:rFonts w:cs="Times New Roman"/>
        </w:rPr>
      </w:r>
    </w:p>
    <w:tbl>
      <w:tblPr>
        <w:tblStyle w:val="ac"/>
        <w:tblW w:w="93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4236"/>
        <w:gridCol w:w="5134"/>
      </w:tblGrid>
      <w:tr>
        <w:trPr>
          <w:trHeight w:val="493" w:hRule="atLeast"/>
        </w:trPr>
        <w:tc>
          <w:tcPr>
            <w:tcW w:w="4236" w:type="dxa"/>
            <w:tcBorders/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</w:rPr>
              <w:t>Идентификатор сценария (xpath)</w:t>
            </w:r>
          </w:p>
        </w:tc>
        <w:tc>
          <w:tcPr>
            <w:tcW w:w="5134" w:type="dxa"/>
            <w:tcBorders/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</w:rPr>
              <w:t>Пространство имен, используемое в xpath</w:t>
            </w:r>
          </w:p>
        </w:tc>
      </w:tr>
      <w:tr>
        <w:trPr>
          <w:trHeight w:val="557" w:hRule="atLeast"/>
        </w:trPr>
        <w:tc>
          <w:tcPr>
            <w:tcW w:w="4236" w:type="dxa"/>
            <w:tcBorders/>
            <w:shd w:fill="auto" w:val="clear"/>
          </w:tcPr>
          <w:p>
            <w:pPr>
              <w:pStyle w:val="Normal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//tns:BankAccInULRequest/tns:СвОрг[@ИННЮЛ='4823006703']</w:t>
            </w:r>
          </w:p>
        </w:tc>
        <w:tc>
          <w:tcPr>
            <w:tcW w:w="5134" w:type="dxa"/>
            <w:tcBorders/>
            <w:shd w:fill="auto" w:val="clear"/>
          </w:tcPr>
          <w:p>
            <w:pPr>
              <w:pStyle w:val="Normal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tns=urn://x-artefacts-fns-bankaccinul/root/171-06/4.0.1</w:t>
            </w:r>
          </w:p>
        </w:tc>
      </w:tr>
    </w:tbl>
    <w:p>
      <w:pPr>
        <w:pStyle w:val="Normal"/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</w:r>
    </w:p>
    <w:p>
      <w:pPr>
        <w:pStyle w:val="Normal"/>
        <w:spacing w:before="0" w:after="60"/>
        <w:ind w:firstLine="709"/>
        <w:rPr>
          <w:rFonts w:cs="Times New Roman"/>
        </w:rPr>
      </w:pPr>
      <w:r>
        <w:rPr>
          <w:rFonts w:cs="Times New Roman"/>
        </w:rPr>
        <w:t xml:space="preserve">Наименование </w:t>
      </w:r>
      <w:r>
        <w:rPr>
          <w:rFonts w:cs="Times New Roman"/>
          <w:lang w:val="en-US"/>
        </w:rPr>
        <w:t>XSL</w:t>
      </w:r>
      <w:r>
        <w:rPr>
          <w:rFonts w:cs="Times New Roman"/>
        </w:rPr>
        <w:t>-файла, используемого для генерации автоматического ответа в данном сценарии: test_fns-bankaccinul.xsl</w:t>
      </w:r>
    </w:p>
    <w:tbl>
      <w:tblPr>
        <w:tblStyle w:val="TableNormal"/>
        <w:tblW w:w="9385" w:type="dxa"/>
        <w:jc w:val="left"/>
        <w:tblInd w:w="33" w:type="dxa"/>
        <w:tblBorders>
          <w:top w:val="single" w:sz="4" w:space="0" w:color="000001"/>
          <w:left w:val="single" w:sz="4" w:space="0" w:color="000001"/>
          <w:bottom w:val="single" w:sz="2" w:space="0" w:color="000001"/>
          <w:right w:val="single" w:sz="4" w:space="0" w:color="000001"/>
          <w:insideH w:val="single" w:sz="2" w:space="0" w:color="000001"/>
          <w:insideV w:val="single" w:sz="4" w:space="0" w:color="000001"/>
        </w:tblBorders>
        <w:tblCellMar>
          <w:top w:w="0" w:type="dxa"/>
          <w:left w:w="105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9385"/>
      </w:tblGrid>
      <w:tr>
        <w:trPr>
          <w:trHeight w:val="567" w:hRule="atLeast"/>
        </w:trPr>
        <w:tc>
          <w:tcPr>
            <w:tcW w:w="9385" w:type="dxa"/>
            <w:tcBorders>
              <w:top w:val="single" w:sz="4" w:space="0" w:color="000001"/>
              <w:left w:val="single" w:sz="4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8080"/>
                <w:sz w:val="16"/>
                <w:szCs w:val="16"/>
                <w:highlight w:val="white"/>
                <w:lang w:val="en-US"/>
              </w:rPr>
              <w:t>&lt;?xml version="1.0" encoding="UTF-8"?&gt;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xsl:stylesheet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xmlns:xsl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http://www.w3.org/1999/XSL/Transform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xmlns:xs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http://www.w3.org/2001/XMLSchema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version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2.0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xmlns:tns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urn://x-artefacts-fns-bankaccinul/root/171-06/4.0.1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xsl:output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method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xml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xsl:template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match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tns:BankAccInULRequest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tns:BankAccInULResponse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namespace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urn://x-artefacts-fns-bankaccinul/root/171-06/4.0.1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xsl:choose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/tns:BankAccInULRequest/tns: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СвОрг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[@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='4823006703']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БанкСчетОрг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ПерДатаНач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2000-01-01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ОГРН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1024800823123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4823006703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НаимОрг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ОТКРЫТОЕ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АКЦИОНЕРНОЕ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ОБЩЕСТВО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&amp;quot;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НОВОЛИПЕЦКИЙ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МЕТАЛЛУРГИЧЕСКИЙ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КОМБИНАТ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&amp;quot;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КПП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482201001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НаимБанк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SCHOELLERBANK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ДатаОткр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2011-02-10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НомСчет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83718191008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ОКСМ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040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SWIFT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SCHOATWW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ДатаЗакр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2014-06-12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НаимБанк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SOCIETE GENERALE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ДатаОткр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2010-05-10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НомСчет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FR7630003030020005055676108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ОКСМ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250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SWIFT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SOGEFRPP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/tns:BankAccInULRequest[@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ДатаОткрНД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='2030-02-12']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tns:TreatmentCode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55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/tns:BankAccInULRequest/tns: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СвОрг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[@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='6164275815']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tns:TreatmentCode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56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xsl:otherwise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tns:TreatmentCode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01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xsl:otherwise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xsl:choose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xsl:template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iCs/>
                <w:sz w:val="18"/>
                <w:szCs w:val="18"/>
              </w:rPr>
            </w:pP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xsl:stylesheet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  <w:t>Контрольный пример</w:t>
      </w:r>
    </w:p>
    <w:p>
      <w:pPr>
        <w:pStyle w:val="Normal"/>
        <w:rPr>
          <w:rFonts w:ascii="Helvetica" w:hAnsi="Helvetica" w:asciiTheme="minorHAnsi" w:hAnsiTheme="minorHAnsi"/>
        </w:rPr>
      </w:pPr>
      <w:r>
        <w:rPr>
          <w:rFonts w:asciiTheme="minorHAnsi" w:hAnsiTheme="minorHAnsi" w:ascii="Helvetica" w:hAnsi="Helvetica"/>
        </w:rPr>
      </w:r>
    </w:p>
    <w:tbl>
      <w:tblPr>
        <w:tblW w:w="9371" w:type="dxa"/>
        <w:jc w:val="left"/>
        <w:tblInd w:w="93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0" w:type="dxa"/>
          <w:left w:w="9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858"/>
        <w:gridCol w:w="2551"/>
        <w:gridCol w:w="3118"/>
        <w:gridCol w:w="1843"/>
      </w:tblGrid>
      <w:tr>
        <w:trPr>
          <w:trHeight w:val="765" w:hRule="atLeast"/>
        </w:trPr>
        <w:tc>
          <w:tcPr>
            <w:tcW w:w="18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</w:rPr>
              <w:t>Контрольный пример</w:t>
            </w:r>
          </w:p>
        </w:tc>
        <w:tc>
          <w:tcPr>
            <w:tcW w:w="2551" w:type="dxa"/>
            <w:tcBorders>
              <w:top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</w:rPr>
              <w:t>Идентификатор контрольного примера (xpath)</w:t>
            </w:r>
          </w:p>
        </w:tc>
        <w:tc>
          <w:tcPr>
            <w:tcW w:w="3118" w:type="dxa"/>
            <w:tcBorders>
              <w:top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</w:rPr>
              <w:t>Пространство имен, используемое в xpath</w:t>
            </w:r>
          </w:p>
        </w:tc>
        <w:tc>
          <w:tcPr>
            <w:tcW w:w="1843" w:type="dxa"/>
            <w:tcBorders>
              <w:top w:val="single" w:sz="8" w:space="0" w:color="000001"/>
              <w:bottom w:val="single" w:sz="4" w:space="0" w:color="00000A"/>
              <w:right w:val="single" w:sz="8" w:space="0" w:color="000001"/>
              <w:insideH w:val="single" w:sz="4" w:space="0" w:color="00000A"/>
              <w:insideV w:val="single" w:sz="8" w:space="0" w:color="000001"/>
            </w:tcBorders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</w:rPr>
              <w:t>XSL файл для сценария</w:t>
            </w:r>
          </w:p>
        </w:tc>
      </w:tr>
      <w:tr>
        <w:trPr>
          <w:trHeight w:val="821" w:hRule="atLeast"/>
        </w:trPr>
        <w:tc>
          <w:tcPr>
            <w:tcW w:w="1858" w:type="dxa"/>
            <w:tcBorders>
              <w:left w:val="single" w:sz="8" w:space="0" w:color="000001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rFonts w:eastAsia="Times New Roman" w:cs="Times New Roman"/>
                <w:i/>
                <w:i/>
              </w:rPr>
            </w:pPr>
            <w:r>
              <w:rPr>
                <w:rFonts w:cs="Times New Roman"/>
              </w:rPr>
              <w:t>Успешный вызов</w:t>
            </w:r>
          </w:p>
        </w:tc>
        <w:tc>
          <w:tcPr>
            <w:tcW w:w="25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highlight w:val="yellow"/>
              </w:rPr>
            </w:pPr>
            <w:r>
              <w:rPr>
                <w:sz w:val="20"/>
              </w:rPr>
              <w:t>//tns:BankAccInULRequest/tns:СвОрг[@ИННЮЛ='4823006703']</w:t>
            </w:r>
          </w:p>
        </w:tc>
        <w:tc>
          <w:tcPr>
            <w:tcW w:w="31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highlight w:val="yellow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tns=urn://x-artefacts-fns-bankaccinul/root/171-06/4.0.1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highlight w:val="yellow"/>
              </w:rPr>
            </w:pPr>
            <w:r>
              <w:rPr>
                <w:sz w:val="20"/>
              </w:rPr>
              <w:t>test_fns-BankAccInUL.xsl</w:t>
            </w:r>
          </w:p>
        </w:tc>
      </w:tr>
    </w:tbl>
    <w:p>
      <w:pPr>
        <w:pStyle w:val="Normal"/>
        <w:spacing w:before="0" w:after="60"/>
        <w:ind w:firstLine="851"/>
        <w:rPr>
          <w:rFonts w:cs="Times New Roman"/>
          <w:b/>
          <w:b/>
        </w:rPr>
      </w:pPr>
      <w:r>
        <w:rPr>
          <w:rFonts w:cs="Times New Roman"/>
          <w:b/>
        </w:rPr>
      </w:r>
    </w:p>
    <w:p>
      <w:pPr>
        <w:pStyle w:val="3"/>
        <w:numPr>
          <w:ilvl w:val="2"/>
          <w:numId w:val="2"/>
        </w:numPr>
        <w:rPr/>
      </w:pPr>
      <w:bookmarkStart w:id="22" w:name="_Toc452391218"/>
      <w:r>
        <w:rPr/>
        <w:t>Сценарий 2: Размещение запроса на предоставление сведений о банковских счетах резидентов – организаций, открытых в банках, расположенных за пределами территории Российской Федерации с некорректной датой открытия счета</w:t>
      </w:r>
      <w:bookmarkEnd w:id="22"/>
    </w:p>
    <w:p>
      <w:pPr>
        <w:pStyle w:val="Normal"/>
        <w:ind w:firstLine="851"/>
        <w:rPr>
          <w:rFonts w:cs="Times New Roman"/>
        </w:rPr>
      </w:pPr>
      <w:r>
        <w:rPr>
          <w:rFonts w:cs="Times New Roman"/>
        </w:rPr>
      </w:r>
    </w:p>
    <w:tbl>
      <w:tblPr>
        <w:tblStyle w:val="ac"/>
        <w:tblW w:w="93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4236"/>
        <w:gridCol w:w="5134"/>
      </w:tblGrid>
      <w:tr>
        <w:trPr>
          <w:trHeight w:val="493" w:hRule="atLeast"/>
        </w:trPr>
        <w:tc>
          <w:tcPr>
            <w:tcW w:w="4236" w:type="dxa"/>
            <w:tcBorders/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</w:rPr>
              <w:t>Идентификатор сценария (xpath)</w:t>
            </w:r>
          </w:p>
        </w:tc>
        <w:tc>
          <w:tcPr>
            <w:tcW w:w="5134" w:type="dxa"/>
            <w:tcBorders/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</w:rPr>
              <w:t>Пространство имен, используемое в xpath</w:t>
            </w:r>
          </w:p>
        </w:tc>
      </w:tr>
      <w:tr>
        <w:trPr>
          <w:trHeight w:val="557" w:hRule="atLeast"/>
        </w:trPr>
        <w:tc>
          <w:tcPr>
            <w:tcW w:w="4236" w:type="dxa"/>
            <w:tcBorders/>
            <w:shd w:fill="auto" w:val="clear"/>
          </w:tcPr>
          <w:p>
            <w:pPr>
              <w:pStyle w:val="Normal"/>
              <w:rPr>
                <w:rFonts w:cs="Times New Roman"/>
                <w:color w:val="000000"/>
                <w:sz w:val="20"/>
                <w:szCs w:val="16"/>
              </w:rPr>
            </w:pPr>
            <w:r>
              <w:rPr>
                <w:rFonts w:cs="Times New Roman"/>
                <w:color w:val="000000"/>
                <w:sz w:val="20"/>
                <w:szCs w:val="16"/>
              </w:rPr>
              <w:t>//tns:BankAccInULRequest[@ДатаОткрНД='2030-02-12']</w:t>
            </w:r>
          </w:p>
        </w:tc>
        <w:tc>
          <w:tcPr>
            <w:tcW w:w="5134" w:type="dxa"/>
            <w:tcBorders/>
            <w:shd w:fill="auto" w:val="clear"/>
          </w:tcPr>
          <w:p>
            <w:pPr>
              <w:pStyle w:val="Normal"/>
              <w:rPr>
                <w:rFonts w:cs="Times New Roman"/>
                <w:color w:val="000000"/>
                <w:sz w:val="20"/>
                <w:szCs w:val="16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tns=urn://x-artefacts-fns-bankaccinul/root/171-06/4.0.1</w:t>
            </w:r>
          </w:p>
        </w:tc>
      </w:tr>
    </w:tbl>
    <w:p>
      <w:pPr>
        <w:pStyle w:val="Normal"/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</w:r>
    </w:p>
    <w:p>
      <w:pPr>
        <w:pStyle w:val="Normal"/>
        <w:spacing w:before="0" w:after="60"/>
        <w:ind w:firstLine="709"/>
        <w:rPr>
          <w:rFonts w:cs="Times New Roman"/>
        </w:rPr>
      </w:pPr>
      <w:r>
        <w:rPr>
          <w:rFonts w:cs="Times New Roman"/>
        </w:rPr>
        <w:t xml:space="preserve">Наименование </w:t>
      </w:r>
      <w:r>
        <w:rPr>
          <w:rFonts w:cs="Times New Roman"/>
          <w:lang w:val="en-US"/>
        </w:rPr>
        <w:t>XSL</w:t>
      </w:r>
      <w:r>
        <w:rPr>
          <w:rFonts w:cs="Times New Roman"/>
        </w:rPr>
        <w:t>-файла, используемого для генерации автоматического ответа в данном сценарии: test_fns-bankaccinul.xsl</w:t>
      </w:r>
    </w:p>
    <w:tbl>
      <w:tblPr>
        <w:tblStyle w:val="TableNormal"/>
        <w:tblW w:w="9385" w:type="dxa"/>
        <w:jc w:val="left"/>
        <w:tblInd w:w="78" w:type="dxa"/>
        <w:tblBorders>
          <w:top w:val="single" w:sz="4" w:space="0" w:color="000001"/>
          <w:left w:val="single" w:sz="4" w:space="0" w:color="000001"/>
          <w:bottom w:val="single" w:sz="2" w:space="0" w:color="000001"/>
          <w:right w:val="single" w:sz="4" w:space="0" w:color="000001"/>
          <w:insideH w:val="single" w:sz="2" w:space="0" w:color="000001"/>
          <w:insideV w:val="single" w:sz="4" w:space="0" w:color="000001"/>
        </w:tblBorders>
        <w:tblCellMar>
          <w:top w:w="80" w:type="dxa"/>
          <w:left w:w="75" w:type="dxa"/>
          <w:bottom w:w="80" w:type="dxa"/>
          <w:right w:w="80" w:type="dxa"/>
        </w:tblCellMar>
        <w:tblLook w:noVBand="1" w:val="04a0" w:noHBand="0" w:lastColumn="0" w:firstColumn="1" w:lastRow="0" w:firstRow="1"/>
      </w:tblPr>
      <w:tblGrid>
        <w:gridCol w:w="9385"/>
      </w:tblGrid>
      <w:tr>
        <w:trPr>
          <w:trHeight w:val="567" w:hRule="atLeast"/>
        </w:trPr>
        <w:tc>
          <w:tcPr>
            <w:tcW w:w="9385" w:type="dxa"/>
            <w:tcBorders>
              <w:top w:val="single" w:sz="4" w:space="0" w:color="000001"/>
              <w:left w:val="single" w:sz="4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8080"/>
                <w:sz w:val="16"/>
                <w:szCs w:val="16"/>
                <w:highlight w:val="white"/>
                <w:lang w:val="en-US"/>
              </w:rPr>
              <w:t>&lt;?xml version="1.0" encoding="UTF-8"?&gt;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xsl:stylesheet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xmlns:xsl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http://www.w3.org/1999/XSL/Transform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xmlns:xs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http://www.w3.org/2001/XMLSchema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version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2.0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xmlns:tns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urn://x-artefacts-fns-bankaccinul/root/171-06/4.0.1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xsl:output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method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xml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xsl:template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match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tns:BankAccInULRequest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tns:BankAccInULResponse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namespace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urn://x-artefacts-fns-bankaccinul/root/171-06/4.0.1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xsl:choose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/tns:BankAccInULRequest/tns: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СвОрг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[@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='4823006703']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БанкСчетОрг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ПерДатаНач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2000-01-01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ОГРН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1024800823123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4823006703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НаимОрг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ОТКРЫТОЕ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АКЦИОНЕРНОЕ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ОБЩЕСТВО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&amp;quot;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НОВОЛИПЕЦКИЙ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МЕТАЛЛУРГИЧЕСКИЙ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КОМБИНАТ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&amp;quot;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КПП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482201001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НаимБанк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SCHOELLERBANK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ДатаОткр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2011-02-10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НомСчет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83718191008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ОКСМ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040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SWIFT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SCHOATWW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ДатаЗакр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2014-06-12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НаимБанк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SOCIETE GENERALE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ДатаОткр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2010-05-10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НомСчет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FR7630003030020005055676108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ОКСМ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250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SWIFT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SOGEFRPP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/tns:BankAccInULRequest[@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ДатаОткрНД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='2030-02-12']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tns:TreatmentCode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55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/tns:BankAccInULRequest/tns: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СвОрг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[@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='6164275815']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tns:TreatmentCode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56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xsl:otherwise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tns:TreatmentCode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01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xsl:otherwise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xsl:choose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xsl:template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xsl:stylesheet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keepNext w:val="true"/>
        <w:rPr/>
      </w:pPr>
      <w:r>
        <w:rPr/>
        <w:t>Контрольный пример</w:t>
      </w:r>
    </w:p>
    <w:p>
      <w:pPr>
        <w:pStyle w:val="Normal"/>
        <w:keepNext w:val="true"/>
        <w:rPr>
          <w:rFonts w:ascii="Helvetica" w:hAnsi="Helvetica" w:asciiTheme="minorHAnsi" w:hAnsiTheme="minorHAnsi"/>
        </w:rPr>
      </w:pPr>
      <w:r>
        <w:rPr>
          <w:rFonts w:asciiTheme="minorHAnsi" w:hAnsiTheme="minorHAnsi" w:ascii="Helvetica" w:hAnsi="Helvetica"/>
        </w:rPr>
      </w:r>
    </w:p>
    <w:tbl>
      <w:tblPr>
        <w:tblW w:w="9371" w:type="dxa"/>
        <w:jc w:val="left"/>
        <w:tblInd w:w="93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0" w:type="dxa"/>
          <w:left w:w="9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858"/>
        <w:gridCol w:w="2551"/>
        <w:gridCol w:w="3118"/>
        <w:gridCol w:w="1843"/>
      </w:tblGrid>
      <w:tr>
        <w:trPr>
          <w:trHeight w:val="765" w:hRule="atLeast"/>
        </w:trPr>
        <w:tc>
          <w:tcPr>
            <w:tcW w:w="18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</w:rPr>
              <w:t>Контрольный пример</w:t>
            </w:r>
          </w:p>
        </w:tc>
        <w:tc>
          <w:tcPr>
            <w:tcW w:w="2551" w:type="dxa"/>
            <w:tcBorders>
              <w:top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</w:rPr>
              <w:t>Идентификатор контрольного примера (xpath)</w:t>
            </w:r>
          </w:p>
        </w:tc>
        <w:tc>
          <w:tcPr>
            <w:tcW w:w="3118" w:type="dxa"/>
            <w:tcBorders>
              <w:top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</w:rPr>
              <w:t>Пространство имен, используемое в xpath</w:t>
            </w:r>
          </w:p>
        </w:tc>
        <w:tc>
          <w:tcPr>
            <w:tcW w:w="1843" w:type="dxa"/>
            <w:tcBorders>
              <w:top w:val="single" w:sz="8" w:space="0" w:color="000001"/>
              <w:bottom w:val="single" w:sz="4" w:space="0" w:color="00000A"/>
              <w:right w:val="single" w:sz="8" w:space="0" w:color="000001"/>
              <w:insideH w:val="single" w:sz="4" w:space="0" w:color="00000A"/>
              <w:insideV w:val="single" w:sz="8" w:space="0" w:color="000001"/>
            </w:tcBorders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</w:rPr>
              <w:t>XSL файл для сценария</w:t>
            </w:r>
          </w:p>
        </w:tc>
      </w:tr>
      <w:tr>
        <w:trPr>
          <w:trHeight w:val="821" w:hRule="atLeast"/>
        </w:trPr>
        <w:tc>
          <w:tcPr>
            <w:tcW w:w="1858" w:type="dxa"/>
            <w:tcBorders>
              <w:left w:val="single" w:sz="8" w:space="0" w:color="000001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</w:rPr>
            </w:pPr>
            <w:r>
              <w:rPr>
                <w:sz w:val="20"/>
              </w:rPr>
              <w:t>Некорректная дата открытия счета (начало диапазона)</w:t>
            </w:r>
          </w:p>
        </w:tc>
        <w:tc>
          <w:tcPr>
            <w:tcW w:w="25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</w:rPr>
            </w:pPr>
            <w:r>
              <w:rPr>
                <w:sz w:val="20"/>
              </w:rPr>
              <w:t>//tns:BankAccInULRequest[@ДатаОткрНД='2030-02-12']</w:t>
            </w:r>
          </w:p>
        </w:tc>
        <w:tc>
          <w:tcPr>
            <w:tcW w:w="31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tns=urn://x-artefacts-fns-bankaccinul/root/171-06/4.0.1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highlight w:val="yellow"/>
              </w:rPr>
            </w:pPr>
            <w:r>
              <w:rPr>
                <w:sz w:val="20"/>
              </w:rPr>
              <w:t>test_fns-BankAccInUL.xsl</w:t>
            </w:r>
          </w:p>
        </w:tc>
      </w:tr>
    </w:tbl>
    <w:p>
      <w:pPr>
        <w:pStyle w:val="Normal"/>
        <w:spacing w:before="0" w:after="60"/>
        <w:ind w:firstLine="851"/>
        <w:rPr>
          <w:rFonts w:cs="Times New Roman"/>
          <w:b/>
          <w:b/>
          <w:lang w:val="en-US"/>
        </w:rPr>
      </w:pPr>
      <w:r>
        <w:rPr>
          <w:rFonts w:cs="Times New Roman"/>
          <w:b/>
          <w:lang w:val="en-US"/>
        </w:rPr>
      </w:r>
    </w:p>
    <w:p>
      <w:pPr>
        <w:pStyle w:val="3"/>
        <w:numPr>
          <w:ilvl w:val="2"/>
          <w:numId w:val="2"/>
        </w:numPr>
        <w:rPr/>
      </w:pPr>
      <w:bookmarkStart w:id="23" w:name="_Toc452391219"/>
      <w:r>
        <w:rPr/>
        <w:t>Сценарий 3: Размещение запроса на предоставление сведений о банковских счетах резидентов – организаций, открытых в банках, расположенных за пределами территории Российской Федерации c неверным контрольным разрядом ИНН</w:t>
      </w:r>
      <w:bookmarkEnd w:id="23"/>
    </w:p>
    <w:p>
      <w:pPr>
        <w:pStyle w:val="Normal"/>
        <w:ind w:firstLine="851"/>
        <w:rPr>
          <w:rFonts w:cs="Times New Roman"/>
        </w:rPr>
      </w:pPr>
      <w:r>
        <w:rPr>
          <w:rFonts w:cs="Times New Roman"/>
        </w:rPr>
      </w:r>
    </w:p>
    <w:tbl>
      <w:tblPr>
        <w:tblStyle w:val="ac"/>
        <w:tblW w:w="93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4236"/>
        <w:gridCol w:w="5134"/>
      </w:tblGrid>
      <w:tr>
        <w:trPr>
          <w:trHeight w:val="493" w:hRule="atLeast"/>
        </w:trPr>
        <w:tc>
          <w:tcPr>
            <w:tcW w:w="4236" w:type="dxa"/>
            <w:tcBorders/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</w:rPr>
              <w:t>Идентификатор сценария (xpath)</w:t>
            </w:r>
          </w:p>
        </w:tc>
        <w:tc>
          <w:tcPr>
            <w:tcW w:w="5134" w:type="dxa"/>
            <w:tcBorders/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</w:rPr>
              <w:t>Пространство имен, используемое в xpath</w:t>
            </w:r>
          </w:p>
        </w:tc>
      </w:tr>
      <w:tr>
        <w:trPr>
          <w:trHeight w:val="557" w:hRule="atLeast"/>
        </w:trPr>
        <w:tc>
          <w:tcPr>
            <w:tcW w:w="4236" w:type="dxa"/>
            <w:tcBorders/>
            <w:shd w:fill="auto" w:val="clear"/>
          </w:tcPr>
          <w:p>
            <w:pPr>
              <w:pStyle w:val="Normal"/>
              <w:rPr>
                <w:sz w:val="20"/>
              </w:rPr>
            </w:pPr>
            <w:r>
              <w:rPr>
                <w:sz w:val="20"/>
              </w:rPr>
              <w:t>//tns:BankAccInULRequest/tns:СвОрг[@ИННЮЛ='6164275815']</w:t>
            </w:r>
          </w:p>
        </w:tc>
        <w:tc>
          <w:tcPr>
            <w:tcW w:w="5134" w:type="dxa"/>
            <w:tcBorders/>
            <w:shd w:fill="auto" w:val="clear"/>
          </w:tcPr>
          <w:p>
            <w:pPr>
              <w:pStyle w:val="Normal"/>
              <w:rPr>
                <w:sz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tns=urn://x-artefacts-fns-bankaccinul/root/171-06/4.0.1</w:t>
            </w:r>
          </w:p>
        </w:tc>
      </w:tr>
    </w:tbl>
    <w:p>
      <w:pPr>
        <w:pStyle w:val="Normal"/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</w:r>
    </w:p>
    <w:p>
      <w:pPr>
        <w:pStyle w:val="Normal"/>
        <w:spacing w:before="0" w:after="60"/>
        <w:ind w:firstLine="709"/>
        <w:rPr>
          <w:rFonts w:cs="Times New Roman"/>
        </w:rPr>
      </w:pPr>
      <w:r>
        <w:rPr>
          <w:rFonts w:cs="Times New Roman"/>
        </w:rPr>
        <w:t xml:space="preserve">Наименование </w:t>
      </w:r>
      <w:r>
        <w:rPr>
          <w:rFonts w:cs="Times New Roman"/>
          <w:lang w:val="en-US"/>
        </w:rPr>
        <w:t>XSL</w:t>
      </w:r>
      <w:r>
        <w:rPr>
          <w:rFonts w:cs="Times New Roman"/>
        </w:rPr>
        <w:t>-файла, используемого для генерации автоматического ответа в данном сценарии: test_fns-bankaccinul.xsl</w:t>
      </w:r>
    </w:p>
    <w:tbl>
      <w:tblPr>
        <w:tblStyle w:val="TableNormal"/>
        <w:tblW w:w="9385" w:type="dxa"/>
        <w:jc w:val="left"/>
        <w:tblInd w:w="78" w:type="dxa"/>
        <w:tblBorders>
          <w:top w:val="single" w:sz="4" w:space="0" w:color="000001"/>
          <w:left w:val="single" w:sz="4" w:space="0" w:color="000001"/>
          <w:bottom w:val="single" w:sz="2" w:space="0" w:color="000001"/>
          <w:right w:val="single" w:sz="4" w:space="0" w:color="000001"/>
          <w:insideH w:val="single" w:sz="2" w:space="0" w:color="000001"/>
          <w:insideV w:val="single" w:sz="4" w:space="0" w:color="000001"/>
        </w:tblBorders>
        <w:tblCellMar>
          <w:top w:w="80" w:type="dxa"/>
          <w:left w:w="75" w:type="dxa"/>
          <w:bottom w:w="80" w:type="dxa"/>
          <w:right w:w="80" w:type="dxa"/>
        </w:tblCellMar>
        <w:tblLook w:noVBand="1" w:val="04a0" w:noHBand="0" w:lastColumn="0" w:firstColumn="1" w:lastRow="0" w:firstRow="1"/>
      </w:tblPr>
      <w:tblGrid>
        <w:gridCol w:w="9385"/>
      </w:tblGrid>
      <w:tr>
        <w:trPr>
          <w:trHeight w:val="567" w:hRule="atLeast"/>
        </w:trPr>
        <w:tc>
          <w:tcPr>
            <w:tcW w:w="9385" w:type="dxa"/>
            <w:tcBorders>
              <w:top w:val="single" w:sz="4" w:space="0" w:color="000001"/>
              <w:left w:val="single" w:sz="4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8080"/>
                <w:sz w:val="16"/>
                <w:szCs w:val="16"/>
                <w:highlight w:val="white"/>
                <w:lang w:val="en-US"/>
              </w:rPr>
              <w:t>&lt;?xml version="1.0" encoding="UTF-8"?&gt;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xsl:stylesheet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xmlns:xsl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http://www.w3.org/1999/XSL/Transform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xmlns:xs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http://www.w3.org/2001/XMLSchema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version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2.0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xmlns:tns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urn://x-artefacts-fns-bankaccinul/root/171-06/4.0.1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xsl:output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method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xml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xsl:template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match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tns:BankAccInULRequest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tns:BankAccInULResponse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namespace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urn://x-artefacts-fns-bankaccinul/root/171-06/4.0.1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xsl:choose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/tns:BankAccInULRequest/tns: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СвОрг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[@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='4823006703']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БанкСчетОрг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ПерДатаНач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2000-01-01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ОГРН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1024800823123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4823006703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НаимОрг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ОТКРЫТОЕ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АКЦИОНЕРНОЕ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ОБЩЕСТВО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&amp;quot;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НОВОЛИПЕЦКИЙ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МЕТАЛЛУРГИЧЕСКИЙ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КОМБИНАТ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&amp;quot;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КПП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482201001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НаимБанк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SCHOELLERBANK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ДатаОткр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2011-02-10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НомСчет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83718191008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ОКСМ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040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SWIFT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SCHOATWW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ДатаЗакр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2014-06-12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НаимБанк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SOCIETE GENERALE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ДатаОткр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2010-05-10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НомСчет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FR7630003030020005055676108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ОКСМ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250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SWIFT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SOGEFRPP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/tns:BankAccInULRequest[@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ДатаОткрНД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='2030-02-12']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tns:TreatmentCode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55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/tns:BankAccInULRequest/tns: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СвОрг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[@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='6164275815']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tns:TreatmentCode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56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xsl:otherwise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tns:TreatmentCode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01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xsl:otherwise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xsl:choose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 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xsl:template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</w:p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xsl:stylesheet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  <w:t>Контрольный пример</w:t>
      </w:r>
    </w:p>
    <w:p>
      <w:pPr>
        <w:pStyle w:val="Normal"/>
        <w:rPr>
          <w:rFonts w:ascii="Helvetica" w:hAnsi="Helvetica" w:asciiTheme="minorHAnsi" w:hAnsiTheme="minorHAnsi"/>
        </w:rPr>
      </w:pPr>
      <w:r>
        <w:rPr>
          <w:rFonts w:asciiTheme="minorHAnsi" w:hAnsiTheme="minorHAnsi" w:ascii="Helvetica" w:hAnsi="Helvetica"/>
        </w:rPr>
      </w:r>
    </w:p>
    <w:tbl>
      <w:tblPr>
        <w:tblW w:w="9371" w:type="dxa"/>
        <w:jc w:val="left"/>
        <w:tblInd w:w="93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0" w:type="dxa"/>
          <w:left w:w="9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858"/>
        <w:gridCol w:w="2551"/>
        <w:gridCol w:w="3118"/>
        <w:gridCol w:w="1843"/>
      </w:tblGrid>
      <w:tr>
        <w:trPr>
          <w:trHeight w:val="765" w:hRule="atLeast"/>
        </w:trPr>
        <w:tc>
          <w:tcPr>
            <w:tcW w:w="18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</w:rPr>
              <w:t>Контрольный пример</w:t>
            </w:r>
          </w:p>
        </w:tc>
        <w:tc>
          <w:tcPr>
            <w:tcW w:w="2551" w:type="dxa"/>
            <w:tcBorders>
              <w:top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</w:rPr>
              <w:t>Идентификатор контрольного примера (xpath)</w:t>
            </w:r>
          </w:p>
        </w:tc>
        <w:tc>
          <w:tcPr>
            <w:tcW w:w="3118" w:type="dxa"/>
            <w:tcBorders>
              <w:top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</w:rPr>
              <w:t>Пространство имен, используемое в xpath</w:t>
            </w:r>
          </w:p>
        </w:tc>
        <w:tc>
          <w:tcPr>
            <w:tcW w:w="1843" w:type="dxa"/>
            <w:tcBorders>
              <w:top w:val="single" w:sz="8" w:space="0" w:color="000001"/>
              <w:bottom w:val="single" w:sz="4" w:space="0" w:color="00000A"/>
              <w:right w:val="single" w:sz="8" w:space="0" w:color="000001"/>
              <w:insideH w:val="single" w:sz="4" w:space="0" w:color="00000A"/>
              <w:insideV w:val="single" w:sz="8" w:space="0" w:color="000001"/>
            </w:tcBorders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</w:rPr>
              <w:t>XSL файл для сценария</w:t>
            </w:r>
          </w:p>
        </w:tc>
      </w:tr>
      <w:tr>
        <w:trPr>
          <w:trHeight w:val="821" w:hRule="atLeast"/>
        </w:trPr>
        <w:tc>
          <w:tcPr>
            <w:tcW w:w="1858" w:type="dxa"/>
            <w:tcBorders>
              <w:left w:val="single" w:sz="8" w:space="0" w:color="000001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</w:rPr>
            </w:pPr>
            <w:r>
              <w:rPr>
                <w:sz w:val="20"/>
              </w:rPr>
              <w:t>Неверный контрольный разряд ИНН</w:t>
            </w:r>
          </w:p>
        </w:tc>
        <w:tc>
          <w:tcPr>
            <w:tcW w:w="25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</w:rPr>
            </w:pPr>
            <w:r>
              <w:rPr>
                <w:sz w:val="20"/>
              </w:rPr>
              <w:t>//tns:BankAccInULRequest/tns:СвОрг[@ИННЮЛ='6164275815']</w:t>
            </w:r>
          </w:p>
        </w:tc>
        <w:tc>
          <w:tcPr>
            <w:tcW w:w="31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tns=urn://x-artefacts-fns-bankaccinul/root/171-06/4.0.1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highlight w:val="yellow"/>
              </w:rPr>
            </w:pPr>
            <w:r>
              <w:rPr>
                <w:sz w:val="20"/>
              </w:rPr>
              <w:t>test_fns-BankAccInUL.xsl</w:t>
            </w:r>
          </w:p>
        </w:tc>
      </w:tr>
    </w:tbl>
    <w:p>
      <w:pPr>
        <w:pStyle w:val="Normal"/>
        <w:spacing w:before="0" w:after="60"/>
        <w:ind w:firstLine="851"/>
        <w:rPr>
          <w:rFonts w:cs="Times New Roman"/>
          <w:b/>
          <w:b/>
          <w:lang w:val="en-US"/>
        </w:rPr>
      </w:pPr>
      <w:r>
        <w:rPr>
          <w:rFonts w:cs="Times New Roman"/>
          <w:b/>
          <w:lang w:val="en-US"/>
        </w:rPr>
      </w:r>
    </w:p>
    <w:p>
      <w:pPr>
        <w:pStyle w:val="1"/>
        <w:numPr>
          <w:ilvl w:val="0"/>
          <w:numId w:val="2"/>
        </w:numPr>
        <w:rPr/>
      </w:pPr>
      <w:bookmarkStart w:id="24" w:name="_Toc452391220"/>
      <w:bookmarkStart w:id="25" w:name="_Toc432068038"/>
      <w:r>
        <w:rPr/>
        <w:t>СОСТАВ ПЕРЕДАВАЕМОЙ ИНФОРМАЦИИ</w:t>
      </w:r>
      <w:bookmarkEnd w:id="24"/>
      <w:bookmarkEnd w:id="25"/>
    </w:p>
    <w:p>
      <w:pPr>
        <w:pStyle w:val="2"/>
        <w:numPr>
          <w:ilvl w:val="1"/>
          <w:numId w:val="2"/>
        </w:numPr>
        <w:rPr/>
      </w:pPr>
      <w:bookmarkStart w:id="26" w:name="_Toc452391221"/>
      <w:bookmarkStart w:id="27" w:name="_Toc432068039"/>
      <w:r>
        <w:rPr>
          <w:rFonts w:eastAsia="Helvetica" w:cs="Helvetica" w:cstheme="majorBidi" w:eastAsiaTheme="majorEastAsia"/>
        </w:rPr>
        <w:t>Описание</w:t>
      </w:r>
      <w:r>
        <w:rPr>
          <w:rFonts w:eastAsia="Arial Unicode MS"/>
        </w:rPr>
        <w:t xml:space="preserve"> полей запроса</w:t>
      </w:r>
      <w:bookmarkEnd w:id="26"/>
      <w:bookmarkEnd w:id="27"/>
    </w:p>
    <w:tbl>
      <w:tblPr>
        <w:tblStyle w:val="TableNormal"/>
        <w:tblW w:w="9385" w:type="dxa"/>
        <w:jc w:val="left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80" w:type="dxa"/>
          <w:left w:w="75" w:type="dxa"/>
          <w:bottom w:w="80" w:type="dxa"/>
          <w:right w:w="80" w:type="dxa"/>
        </w:tblCellMar>
        <w:tblLook w:noVBand="1" w:val="04a0" w:noHBand="0" w:lastColumn="0" w:firstColumn="1" w:lastRow="0" w:firstRow="1"/>
      </w:tblPr>
      <w:tblGrid>
        <w:gridCol w:w="538"/>
        <w:gridCol w:w="1985"/>
        <w:gridCol w:w="2410"/>
        <w:gridCol w:w="850"/>
        <w:gridCol w:w="1277"/>
        <w:gridCol w:w="2324"/>
      </w:tblGrid>
      <w:tr>
        <w:trPr>
          <w:trHeight w:val="662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>
                <w:b w:val="false"/>
                <w:b w:val="false"/>
              </w:rPr>
            </w:pPr>
            <w:r>
              <w:rPr>
                <w:b w:val="false"/>
                <w:sz w:val="20"/>
                <w:szCs w:val="20"/>
              </w:rPr>
              <w:t>№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/>
            </w:pPr>
            <w:r>
              <w:rPr>
                <w:sz w:val="20"/>
                <w:szCs w:val="20"/>
              </w:rPr>
              <w:t>Код поля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/>
            </w:pPr>
            <w:r>
              <w:rPr>
                <w:sz w:val="20"/>
                <w:szCs w:val="20"/>
              </w:rPr>
              <w:t>Описание поля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/>
            </w:pPr>
            <w:r>
              <w:rPr>
                <w:sz w:val="20"/>
                <w:szCs w:val="20"/>
              </w:rPr>
              <w:t>Треб. к заполн.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/>
            </w:pPr>
            <w:r>
              <w:rPr>
                <w:sz w:val="20"/>
                <w:szCs w:val="20"/>
              </w:rPr>
              <w:t>Способ заполнения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Тип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/>
            </w:pPr>
            <w:r>
              <w:rPr>
                <w:sz w:val="20"/>
                <w:szCs w:val="20"/>
              </w:rPr>
              <w:t>Комментарий</w:t>
            </w:r>
          </w:p>
        </w:tc>
      </w:tr>
      <w:tr>
        <w:trPr>
          <w:trHeight w:val="652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1.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ДатаОткрНД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Дата открытия счета (депозита) - начало диапазона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</w:t>
            </w:r>
            <w:r>
              <w:rPr>
                <w:rStyle w:val="FootnoteCharacters"/>
                <w:rStyle w:val="Style12"/>
                <w:rFonts w:cs="Times New Roman"/>
                <w:sz w:val="20"/>
                <w:szCs w:val="20"/>
              </w:rPr>
              <w:footnoteReference w:id="2"/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Типовой элемент &lt;xs:date&gt;.</w:t>
            </w:r>
          </w:p>
          <w:p>
            <w:pPr>
              <w:pStyle w:val="Norm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Дата в формате ГГГГ-ММ-ДД </w:t>
            </w:r>
          </w:p>
        </w:tc>
      </w:tr>
      <w:tr>
        <w:trPr>
          <w:trHeight w:val="834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2.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ДатаОткрКД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Дата открытия счета (депозита) - конец диапазона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Типовой элемент &lt;xs:date&gt;.</w:t>
            </w:r>
          </w:p>
          <w:p>
            <w:pPr>
              <w:pStyle w:val="Norm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Дата в формате ГГГГ-ММ-ДД </w:t>
            </w:r>
          </w:p>
        </w:tc>
      </w:tr>
      <w:tr>
        <w:trPr>
          <w:trHeight w:val="498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3.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СостСчет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Код состояния счета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НК</w:t>
            </w:r>
            <w:r>
              <w:rPr>
                <w:rStyle w:val="FootnoteCharacters"/>
                <w:rStyle w:val="Style12"/>
                <w:iCs/>
                <w:sz w:val="20"/>
                <w:szCs w:val="20"/>
              </w:rPr>
              <w:footnoteReference w:id="3"/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T(=1) /A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Принимает значение:</w:t>
            </w:r>
          </w:p>
          <w:p>
            <w:pPr>
              <w:pStyle w:val="Normal"/>
              <w:ind w:left="62" w:hanging="62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0 – счет закрыт  | 1 – счет открыт</w:t>
            </w:r>
          </w:p>
        </w:tc>
      </w:tr>
      <w:tr>
        <w:trPr>
          <w:trHeight w:val="551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4.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2"/>
                <w:lang w:val="en-US"/>
              </w:rPr>
            </w:pPr>
            <w:r>
              <w:rPr>
                <w:sz w:val="20"/>
                <w:szCs w:val="22"/>
              </w:rPr>
              <w:t>СвОрг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Сведения об организации</w:t>
            </w:r>
          </w:p>
          <w:p>
            <w:pPr>
              <w:pStyle w:val="Norm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О</w:t>
            </w:r>
            <w:r>
              <w:rPr>
                <w:rStyle w:val="Style12"/>
                <w:iCs/>
                <w:sz w:val="22"/>
                <w:szCs w:val="20"/>
                <w:vertAlign w:val="superscript"/>
              </w:rPr>
              <w:footnoteReference w:id="4"/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Составной элемент, описание дано в пункте 4.3</w:t>
            </w:r>
          </w:p>
        </w:tc>
      </w:tr>
    </w:tbl>
    <w:p>
      <w:pPr>
        <w:pStyle w:val="Normal"/>
        <w:rPr/>
      </w:pPr>
      <w:r>
        <w:rPr/>
      </w:r>
    </w:p>
    <w:p>
      <w:pPr>
        <w:pStyle w:val="2"/>
        <w:numPr>
          <w:ilvl w:val="1"/>
          <w:numId w:val="2"/>
        </w:numPr>
        <w:rPr/>
      </w:pPr>
      <w:bookmarkStart w:id="28" w:name="_Toc452391222"/>
      <w:bookmarkStart w:id="29" w:name="_Toc432068040"/>
      <w:r>
        <w:rPr>
          <w:rFonts w:eastAsia="Helvetica" w:eastAsiaTheme="majorEastAsia"/>
        </w:rPr>
        <w:t>Описание</w:t>
      </w:r>
      <w:r>
        <w:rPr>
          <w:rFonts w:eastAsia="Arial Unicode MS"/>
        </w:rPr>
        <w:t xml:space="preserve"> полей ответа на запрос</w:t>
      </w:r>
      <w:bookmarkEnd w:id="28"/>
      <w:bookmarkEnd w:id="29"/>
    </w:p>
    <w:tbl>
      <w:tblPr>
        <w:tblStyle w:val="TableNormal"/>
        <w:tblW w:w="9385" w:type="dxa"/>
        <w:jc w:val="left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80" w:type="dxa"/>
          <w:left w:w="75" w:type="dxa"/>
          <w:bottom w:w="80" w:type="dxa"/>
          <w:right w:w="80" w:type="dxa"/>
        </w:tblCellMar>
        <w:tblLook w:noVBand="1" w:val="04a0" w:noHBand="0" w:lastColumn="0" w:firstColumn="1" w:lastRow="0" w:firstRow="1"/>
      </w:tblPr>
      <w:tblGrid>
        <w:gridCol w:w="407"/>
        <w:gridCol w:w="2117"/>
        <w:gridCol w:w="2410"/>
        <w:gridCol w:w="850"/>
        <w:gridCol w:w="1277"/>
        <w:gridCol w:w="2323"/>
      </w:tblGrid>
      <w:tr>
        <w:trPr>
          <w:trHeight w:val="662" w:hRule="atLeast"/>
        </w:trPr>
        <w:tc>
          <w:tcPr>
            <w:tcW w:w="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>
                <w:rFonts w:ascii="Times New Roman" w:hAnsi="Times New Roman" w:cs="Times New Roman"/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0"/>
                <w:szCs w:val="20"/>
              </w:rPr>
              <w:t>№</w:t>
            </w:r>
          </w:p>
        </w:tc>
        <w:tc>
          <w:tcPr>
            <w:tcW w:w="21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>
                <w:rFonts w:ascii="Times New Roman" w:hAnsi="Times New Roman" w:cs="Times New Roman"/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0"/>
                <w:szCs w:val="20"/>
              </w:rPr>
              <w:t>Код поля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>
                <w:rFonts w:ascii="Times New Roman" w:hAnsi="Times New Roman" w:cs="Times New Roman"/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0"/>
                <w:szCs w:val="20"/>
              </w:rPr>
              <w:t>Описание поля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/>
            </w:pPr>
            <w:r>
              <w:rPr>
                <w:sz w:val="20"/>
                <w:szCs w:val="20"/>
              </w:rPr>
              <w:t>Треб. к заполн.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/>
            </w:pPr>
            <w:r>
              <w:rPr>
                <w:sz w:val="20"/>
                <w:szCs w:val="20"/>
              </w:rPr>
              <w:t>Способ заполнения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Тип</w:t>
            </w:r>
          </w:p>
        </w:tc>
        <w:tc>
          <w:tcPr>
            <w:tcW w:w="23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>
                <w:rFonts w:ascii="Times New Roman" w:hAnsi="Times New Roman" w:cs="Times New Roman"/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0"/>
                <w:szCs w:val="20"/>
              </w:rPr>
              <w:t xml:space="preserve">Комментарий </w:t>
            </w:r>
          </w:p>
        </w:tc>
      </w:tr>
      <w:tr>
        <w:trPr>
          <w:trHeight w:val="924" w:hRule="atLeast"/>
        </w:trPr>
        <w:tc>
          <w:tcPr>
            <w:tcW w:w="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21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>БанкСчетОрг</w:t>
            </w:r>
            <w:r>
              <w:rPr>
                <w:rFonts w:cs="Times New Roman"/>
                <w:sz w:val="20"/>
                <w:szCs w:val="20"/>
                <w:lang w:val="en-US"/>
              </w:rPr>
              <w:t>|</w:t>
            </w:r>
          </w:p>
          <w:p>
            <w:pPr>
              <w:pStyle w:val="Normal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</w:r>
          </w:p>
          <w:p>
            <w:pPr>
              <w:pStyle w:val="Normal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  <w:p>
            <w:pPr>
              <w:pStyle w:val="Normal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  <w:p>
            <w:pPr>
              <w:pStyle w:val="Normal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  <w:p>
            <w:pPr>
              <w:pStyle w:val="Normal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  <w:p>
            <w:pPr>
              <w:pStyle w:val="Normal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  <w:p>
            <w:pPr>
              <w:pStyle w:val="Normal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TreatmentCode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Сведения о</w:t>
            </w:r>
            <w:r>
              <w:rPr>
                <w:rFonts w:cs="Times New Roman"/>
                <w:sz w:val="20"/>
                <w:szCs w:val="20"/>
              </w:rPr>
              <w:t xml:space="preserve"> счетах резидентов – организаций, открытых в банках, расположенных</w:t>
            </w:r>
            <w:r>
              <w:rPr>
                <w:rFonts w:cs="Times New Roman"/>
                <w:bCs/>
                <w:sz w:val="20"/>
                <w:szCs w:val="20"/>
              </w:rPr>
              <w:t xml:space="preserve"> за пределами территории Российской Федерации</w:t>
            </w:r>
            <w:r>
              <w:rPr>
                <w:rFonts w:cs="Times New Roman"/>
                <w:sz w:val="20"/>
                <w:szCs w:val="20"/>
              </w:rPr>
              <w:t xml:space="preserve">   |</w:t>
            </w:r>
          </w:p>
          <w:p>
            <w:pPr>
              <w:pStyle w:val="Normal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  <w:p>
            <w:pPr>
              <w:pStyle w:val="Normal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Код обработки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</w:t>
            </w:r>
          </w:p>
          <w:p>
            <w:pPr>
              <w:pStyle w:val="Normal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</w:r>
          </w:p>
          <w:p>
            <w:pPr>
              <w:pStyle w:val="Normal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ОК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C</w:t>
            </w:r>
          </w:p>
          <w:p>
            <w:pPr>
              <w:pStyle w:val="Normal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</w:r>
          </w:p>
          <w:p>
            <w:pPr>
              <w:pStyle w:val="Normal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T(=2) /П</w:t>
            </w:r>
          </w:p>
        </w:tc>
        <w:tc>
          <w:tcPr>
            <w:tcW w:w="23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Составной элемент, описание дано в пункте 4.3</w:t>
            </w:r>
          </w:p>
          <w:p>
            <w:pPr>
              <w:pStyle w:val="Normal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  <w:p>
            <w:pPr>
              <w:pStyle w:val="Normal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  <w:p>
            <w:pPr>
              <w:pStyle w:val="Normal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  <w:p>
            <w:pPr>
              <w:pStyle w:val="Normal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  <w:p>
            <w:pPr>
              <w:pStyle w:val="Normal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Принимает значения: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01 - </w:t>
            </w:r>
            <w:r>
              <w:rPr>
                <w:sz w:val="20"/>
                <w:szCs w:val="20"/>
              </w:rPr>
              <w:t>Запрашиваемые сведения не найдены;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02 - Сведения об организации не найдены;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10 - </w:t>
            </w:r>
            <w:r>
              <w:rPr>
                <w:sz w:val="20"/>
                <w:szCs w:val="20"/>
              </w:rPr>
              <w:t>Организация определена неоднозначно;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55 - </w:t>
            </w:r>
            <w:r>
              <w:rPr>
                <w:sz w:val="20"/>
                <w:szCs w:val="20"/>
              </w:rPr>
              <w:t>Недопустимое значение даты;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56 - Неверный контрольный разряд ИНН;</w:t>
            </w:r>
          </w:p>
          <w:p>
            <w:pPr>
              <w:pStyle w:val="Normal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57 - </w:t>
            </w:r>
            <w:r>
              <w:rPr>
                <w:sz w:val="20"/>
                <w:szCs w:val="20"/>
              </w:rPr>
              <w:t>Недопустимый диапазон дат</w:t>
            </w:r>
          </w:p>
        </w:tc>
      </w:tr>
    </w:tbl>
    <w:p>
      <w:pPr>
        <w:pStyle w:val="Normal"/>
        <w:rPr/>
      </w:pPr>
      <w:r>
        <w:rPr/>
      </w:r>
    </w:p>
    <w:p>
      <w:pPr>
        <w:pStyle w:val="2"/>
        <w:numPr>
          <w:ilvl w:val="1"/>
          <w:numId w:val="2"/>
        </w:numPr>
        <w:rPr>
          <w:rFonts w:eastAsia="Arial Unicode MS"/>
        </w:rPr>
      </w:pPr>
      <w:bookmarkStart w:id="30" w:name="_Toc452391223"/>
      <w:bookmarkStart w:id="31" w:name="_Toc432068041"/>
      <w:r>
        <w:rPr>
          <w:rFonts w:eastAsia="Helvetica" w:eastAsiaTheme="majorEastAsia"/>
        </w:rPr>
        <w:t>Описание</w:t>
      </w:r>
      <w:r>
        <w:rPr>
          <w:rFonts w:eastAsia="Arial Unicode MS"/>
        </w:rPr>
        <w:t xml:space="preserve"> комплексных типов полей (при наличии)</w:t>
      </w:r>
      <w:bookmarkEnd w:id="30"/>
      <w:bookmarkEnd w:id="31"/>
    </w:p>
    <w:tbl>
      <w:tblPr>
        <w:tblStyle w:val="TableNormal"/>
        <w:tblW w:w="9385" w:type="dxa"/>
        <w:jc w:val="left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80" w:type="dxa"/>
          <w:left w:w="75" w:type="dxa"/>
          <w:bottom w:w="80" w:type="dxa"/>
          <w:right w:w="80" w:type="dxa"/>
        </w:tblCellMar>
        <w:tblLook w:noVBand="1" w:val="04a0" w:noHBand="0" w:lastColumn="0" w:firstColumn="1" w:lastRow="0" w:firstRow="1"/>
      </w:tblPr>
      <w:tblGrid>
        <w:gridCol w:w="538"/>
        <w:gridCol w:w="1985"/>
        <w:gridCol w:w="2410"/>
        <w:gridCol w:w="850"/>
        <w:gridCol w:w="1277"/>
        <w:gridCol w:w="2324"/>
      </w:tblGrid>
      <w:tr>
        <w:trPr>
          <w:trHeight w:val="795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>
                <w:rFonts w:ascii="Times New Roman" w:hAnsi="Times New Roman" w:cs="Times New Roman"/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0"/>
                <w:szCs w:val="20"/>
              </w:rPr>
              <w:t>№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>
                <w:rFonts w:ascii="Times New Roman" w:hAnsi="Times New Roman" w:cs="Times New Roman"/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0"/>
                <w:szCs w:val="20"/>
              </w:rPr>
              <w:t>Код поля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>
                <w:rFonts w:ascii="Times New Roman" w:hAnsi="Times New Roman" w:cs="Times New Roman"/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0"/>
                <w:szCs w:val="20"/>
              </w:rPr>
              <w:t>Описание поля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/>
            </w:pPr>
            <w:r>
              <w:rPr>
                <w:sz w:val="20"/>
                <w:szCs w:val="20"/>
              </w:rPr>
              <w:t>Треб. к заполн.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/>
            </w:pPr>
            <w:r>
              <w:rPr>
                <w:sz w:val="20"/>
                <w:szCs w:val="20"/>
              </w:rPr>
              <w:t>Способ заполнения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Тип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>
                <w:rFonts w:ascii="Times New Roman" w:hAnsi="Times New Roman" w:cs="Times New Roman"/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0"/>
                <w:szCs w:val="20"/>
              </w:rPr>
              <w:t xml:space="preserve">Комментарий </w:t>
            </w:r>
          </w:p>
        </w:tc>
      </w:tr>
      <w:tr>
        <w:trPr>
          <w:trHeight w:val="1201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b/>
                <w:b/>
                <w:sz w:val="20"/>
                <w:szCs w:val="20"/>
              </w:rPr>
            </w:pPr>
            <w:r>
              <w:rPr>
                <w:rFonts w:cs="Times New Roman"/>
                <w:b/>
                <w:iCs/>
                <w:sz w:val="20"/>
                <w:szCs w:val="20"/>
                <w:lang w:val="en-US"/>
              </w:rPr>
              <w:t>1</w:t>
            </w:r>
            <w:r>
              <w:rPr>
                <w:rFonts w:cs="Times New Roman"/>
                <w:b/>
                <w:iCs/>
                <w:sz w:val="20"/>
                <w:szCs w:val="20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2"/>
              </w:rPr>
              <w:t>СвОрг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 xml:space="preserve">Сведения об организации </w:t>
            </w:r>
          </w:p>
          <w:p>
            <w:pPr>
              <w:pStyle w:val="Normal"/>
              <w:rPr>
                <w:rFonts w:cs="Times New Roman"/>
                <w:b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b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О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b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С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  <w:b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</w:r>
          </w:p>
        </w:tc>
      </w:tr>
      <w:tr>
        <w:trPr>
          <w:trHeight w:val="1201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1</w:t>
            </w:r>
            <w:r>
              <w:rPr>
                <w:rFonts w:cs="Times New Roman"/>
                <w:iCs/>
                <w:sz w:val="20"/>
                <w:szCs w:val="20"/>
                <w:lang w:val="en-US"/>
              </w:rPr>
              <w:t>.</w:t>
            </w:r>
            <w:r>
              <w:rPr>
                <w:rFonts w:cs="Times New Roman"/>
                <w:iCs/>
                <w:sz w:val="20"/>
                <w:szCs w:val="20"/>
              </w:rPr>
              <w:t>1.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ИННЮЛ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 организации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T(=10)/А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Типовой элемент &lt;LegalPersonINNType&gt;</w:t>
            </w:r>
          </w:p>
        </w:tc>
      </w:tr>
      <w:tr>
        <w:trPr>
          <w:trHeight w:val="1201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1.2.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КПП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КПП организации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T(=9)/А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Типовой элемент &lt;KPPType&gt;</w:t>
            </w:r>
          </w:p>
        </w:tc>
      </w:tr>
      <w:tr>
        <w:trPr>
          <w:trHeight w:val="685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1.3.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ОГРН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ОГРН организации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T(=13)/А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Типовой элемент &lt;OGRNCompanyType&gt;</w:t>
            </w:r>
          </w:p>
        </w:tc>
      </w:tr>
      <w:tr>
        <w:trPr>
          <w:trHeight w:val="381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b/>
                <w:b/>
                <w:iCs/>
                <w:sz w:val="20"/>
                <w:szCs w:val="20"/>
              </w:rPr>
            </w:pPr>
            <w:r>
              <w:rPr>
                <w:rFonts w:cs="Times New Roman"/>
                <w:b/>
                <w:iCs/>
                <w:sz w:val="20"/>
                <w:szCs w:val="20"/>
              </w:rPr>
              <w:t>2.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БанкСчетОрг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Сведения о</w:t>
            </w:r>
            <w:r>
              <w:rPr>
                <w:rFonts w:cs="Times New Roman"/>
                <w:b/>
                <w:sz w:val="20"/>
                <w:szCs w:val="20"/>
              </w:rPr>
              <w:t xml:space="preserve"> счетах резидентов – организаций, открытых в банках, расположенных</w:t>
            </w:r>
            <w:r>
              <w:rPr>
                <w:rFonts w:cs="Times New Roman"/>
                <w:b/>
                <w:bCs/>
                <w:sz w:val="20"/>
                <w:szCs w:val="20"/>
              </w:rPr>
              <w:t xml:space="preserve"> за пределами территории Российской Федерации</w:t>
            </w:r>
            <w:r>
              <w:rPr>
                <w:rFonts w:cs="Times New Roman"/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b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О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b/>
                <w:b/>
                <w:iCs/>
                <w:sz w:val="20"/>
                <w:szCs w:val="20"/>
              </w:rPr>
            </w:pPr>
            <w:r>
              <w:rPr>
                <w:rFonts w:cs="Times New Roman"/>
                <w:b/>
                <w:iCs/>
                <w:sz w:val="20"/>
                <w:szCs w:val="20"/>
              </w:rPr>
              <w:t>Составной элемент</w:t>
            </w:r>
          </w:p>
        </w:tc>
      </w:tr>
      <w:tr>
        <w:trPr>
          <w:trHeight w:val="545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2.1.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ПерДатаНач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период - начало диапазона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Н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Типовой элемент &lt;xs:date&gt;.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в формате ГГГГ-ММ-ДД </w:t>
            </w:r>
          </w:p>
        </w:tc>
      </w:tr>
      <w:tr>
        <w:trPr>
          <w:trHeight w:val="385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2.2.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ПерДатаКон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период - конец диапазона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Н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Типовой элемент &lt;xs:date&gt;.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в формате ГГГГ-ММ-ДД </w:t>
            </w:r>
          </w:p>
        </w:tc>
      </w:tr>
      <w:tr>
        <w:trPr>
          <w:trHeight w:val="385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2.3.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ИННЮЛ</w:t>
            </w:r>
          </w:p>
          <w:p>
            <w:pPr>
              <w:pStyle w:val="Normal"/>
              <w:spacing w:before="6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 организации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О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T(=10) /А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Типовой элемент &lt;LegalPersonINNType&gt;</w:t>
            </w:r>
          </w:p>
        </w:tc>
      </w:tr>
      <w:tr>
        <w:trPr>
          <w:trHeight w:val="393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2.4.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КПП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КПП организации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Н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T(=9) /А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Типовой элемент &lt;KPPType&gt;</w:t>
            </w:r>
          </w:p>
        </w:tc>
      </w:tr>
      <w:tr>
        <w:trPr>
          <w:trHeight w:val="415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2.5.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ОГРН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ОГРН организации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О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T(=13) /А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Типовой элемент &lt;OGRNCompanyType&gt;</w:t>
            </w:r>
          </w:p>
        </w:tc>
      </w:tr>
      <w:tr>
        <w:trPr>
          <w:trHeight w:val="415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2.6.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НаимОрг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Полное наименование организации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О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T(1-1000) /А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415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b/>
                <w:b/>
                <w:iCs/>
                <w:sz w:val="20"/>
                <w:szCs w:val="20"/>
              </w:rPr>
            </w:pPr>
            <w:r>
              <w:rPr>
                <w:rFonts w:cs="Times New Roman"/>
                <w:b/>
                <w:iCs/>
                <w:sz w:val="20"/>
                <w:szCs w:val="20"/>
              </w:rPr>
              <w:t>2.7.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b/>
                <w:b/>
                <w:iCs/>
                <w:sz w:val="20"/>
                <w:szCs w:val="20"/>
              </w:rPr>
            </w:pPr>
            <w:r>
              <w:rPr>
                <w:rFonts w:cs="Times New Roman"/>
                <w:b/>
                <w:iCs/>
                <w:sz w:val="20"/>
                <w:szCs w:val="20"/>
              </w:rPr>
              <w:t>СведСчет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b/>
                <w:b/>
                <w:iCs/>
                <w:sz w:val="20"/>
                <w:szCs w:val="20"/>
              </w:rPr>
            </w:pPr>
            <w:r>
              <w:rPr>
                <w:rFonts w:cs="Times New Roman"/>
                <w:b/>
                <w:iCs/>
                <w:sz w:val="20"/>
                <w:szCs w:val="20"/>
              </w:rPr>
              <w:t>Сведения о счетах в банке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b/>
                <w:b/>
                <w:iCs/>
                <w:sz w:val="20"/>
                <w:szCs w:val="20"/>
              </w:rPr>
            </w:pPr>
            <w:r>
              <w:rPr>
                <w:rFonts w:cs="Times New Roman"/>
                <w:b/>
                <w:iCs/>
                <w:sz w:val="20"/>
                <w:szCs w:val="20"/>
              </w:rPr>
              <w:t>ОМ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b/>
                <w:b/>
                <w:iCs/>
                <w:sz w:val="20"/>
                <w:szCs w:val="20"/>
              </w:rPr>
            </w:pPr>
            <w:r>
              <w:rPr>
                <w:rFonts w:cs="Times New Roman"/>
                <w:b/>
                <w:iCs/>
                <w:sz w:val="20"/>
                <w:szCs w:val="20"/>
              </w:rPr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b/>
                <w:b/>
                <w:iCs/>
                <w:sz w:val="20"/>
                <w:szCs w:val="20"/>
              </w:rPr>
            </w:pPr>
            <w:r>
              <w:rPr>
                <w:rFonts w:cs="Times New Roman"/>
                <w:b/>
                <w:iCs/>
                <w:sz w:val="20"/>
                <w:szCs w:val="20"/>
              </w:rPr>
              <w:t>Составной элемент</w:t>
            </w:r>
          </w:p>
        </w:tc>
      </w:tr>
      <w:tr>
        <w:trPr>
          <w:trHeight w:val="415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2.7.1.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НомСчет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Номер счета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О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T(1-36) /А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>
          <w:trHeight w:val="415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2.7.2.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ДатаОткр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Дата открытия счета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Н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A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Типовой элемент &lt;xs:date&gt;.</w:t>
            </w:r>
          </w:p>
          <w:p>
            <w:pPr>
              <w:pStyle w:val="Normal"/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 xml:space="preserve">Дата в формате ГГГГ-ММ-ДД </w:t>
            </w:r>
          </w:p>
        </w:tc>
      </w:tr>
      <w:tr>
        <w:trPr>
          <w:trHeight w:val="415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2.7.3.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ДатаЗакр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Дата закрытия счета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Н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A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Типовой элемент &lt;xs:date&gt;.</w:t>
            </w:r>
          </w:p>
          <w:p>
            <w:pPr>
              <w:pStyle w:val="Normal"/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 xml:space="preserve">Дата в формате ГГГГ-ММ-ДД </w:t>
            </w:r>
          </w:p>
        </w:tc>
      </w:tr>
      <w:tr>
        <w:trPr>
          <w:trHeight w:val="415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cs="Times New Roman"/>
                <w:iCs/>
                <w:sz w:val="20"/>
                <w:szCs w:val="20"/>
              </w:rPr>
              <w:t>2.7.4.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НаимБанк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банка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T(1-255) /А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415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cs="Times New Roman"/>
                <w:iCs/>
                <w:sz w:val="20"/>
                <w:szCs w:val="20"/>
              </w:rPr>
              <w:t>2.7.5.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SWIFT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SWIFT BIC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T(1-25) /А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415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cs="Times New Roman"/>
                <w:iCs/>
                <w:sz w:val="20"/>
                <w:szCs w:val="20"/>
              </w:rPr>
              <w:t>2.7.6.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ОКСМ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Цифровой код страны банка по ОКСМ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T(=3) /А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eastAsia="Times New Roman" w:cs="Times New Roman"/>
              </w:rPr>
            </w:pPr>
            <w:r>
              <w:rPr>
                <w:sz w:val="20"/>
                <w:szCs w:val="20"/>
              </w:rPr>
              <w:t>Типовой элемент &lt;OKCMType&gt;</w:t>
            </w:r>
            <w:r>
              <w:rPr>
                <w:rFonts w:eastAsia="Times New Roman" w:cs="Times New Roman"/>
              </w:rPr>
              <w:t xml:space="preserve"> </w:t>
            </w:r>
          </w:p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 с Общероссийским классификатором территорий муниципальных образований</w:t>
            </w:r>
          </w:p>
        </w:tc>
      </w:tr>
    </w:tbl>
    <w:p>
      <w:pPr>
        <w:pStyle w:val="Normal"/>
        <w:rPr/>
      </w:pPr>
      <w:r>
        <w:rPr/>
      </w:r>
    </w:p>
    <w:p>
      <w:pPr>
        <w:pStyle w:val="2"/>
        <w:numPr>
          <w:ilvl w:val="1"/>
          <w:numId w:val="2"/>
        </w:numPr>
        <w:rPr>
          <w:rFonts w:eastAsia="Arial Unicode MS"/>
        </w:rPr>
      </w:pPr>
      <w:bookmarkStart w:id="32" w:name="_Toc452391224"/>
      <w:bookmarkStart w:id="33" w:name="_Toc432068042"/>
      <w:r>
        <w:rPr>
          <w:rFonts w:eastAsia="Arial Unicode MS"/>
        </w:rPr>
        <w:t xml:space="preserve">Описание </w:t>
      </w:r>
      <w:r>
        <w:rPr>
          <w:rFonts w:eastAsia="Helvetica" w:eastAsiaTheme="majorEastAsia"/>
        </w:rPr>
        <w:t>проверок</w:t>
      </w:r>
      <w:r>
        <w:rPr>
          <w:rFonts w:eastAsia="Arial Unicode MS"/>
        </w:rPr>
        <w:t xml:space="preserve"> запроса на стороне поставщика</w:t>
      </w:r>
      <w:bookmarkEnd w:id="32"/>
      <w:bookmarkEnd w:id="33"/>
    </w:p>
    <w:tbl>
      <w:tblPr>
        <w:tblStyle w:val="TableNormal"/>
        <w:tblW w:w="9370" w:type="dxa"/>
        <w:jc w:val="left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80" w:type="dxa"/>
          <w:left w:w="75" w:type="dxa"/>
          <w:bottom w:w="80" w:type="dxa"/>
          <w:right w:w="80" w:type="dxa"/>
        </w:tblCellMar>
        <w:tblLook w:noVBand="1" w:val="04a0" w:noHBand="0" w:lastColumn="0" w:firstColumn="1" w:lastRow="0" w:firstRow="1"/>
      </w:tblPr>
      <w:tblGrid>
        <w:gridCol w:w="406"/>
        <w:gridCol w:w="1032"/>
        <w:gridCol w:w="1369"/>
        <w:gridCol w:w="2426"/>
        <w:gridCol w:w="2525"/>
        <w:gridCol w:w="1611"/>
      </w:tblGrid>
      <w:tr>
        <w:trPr>
          <w:trHeight w:val="662" w:hRule="atLeast"/>
        </w:trPr>
        <w:tc>
          <w:tcPr>
            <w:tcW w:w="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Местоположение поля</w:t>
            </w:r>
          </w:p>
        </w:tc>
        <w:tc>
          <w:tcPr>
            <w:tcW w:w="1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поля</w:t>
            </w:r>
          </w:p>
        </w:tc>
        <w:tc>
          <w:tcPr>
            <w:tcW w:w="2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</w:t>
            </w:r>
          </w:p>
        </w:tc>
        <w:tc>
          <w:tcPr>
            <w:tcW w:w="2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проверки</w:t>
            </w:r>
          </w:p>
        </w:tc>
        <w:tc>
          <w:tcPr>
            <w:tcW w:w="16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Комментарий</w:t>
            </w:r>
          </w:p>
        </w:tc>
      </w:tr>
      <w:tr>
        <w:trPr>
          <w:trHeight w:val="1044" w:hRule="atLeast"/>
        </w:trPr>
        <w:tc>
          <w:tcPr>
            <w:tcW w:w="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1.</w:t>
            </w:r>
          </w:p>
        </w:tc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Бизнес поле запроса</w:t>
            </w:r>
          </w:p>
        </w:tc>
        <w:tc>
          <w:tcPr>
            <w:tcW w:w="1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ДатаОткрНД</w:t>
            </w:r>
          </w:p>
          <w:p>
            <w:pPr>
              <w:pStyle w:val="Normal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  <w:p>
            <w:pPr>
              <w:pStyle w:val="Normal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ДатаОткрКД</w:t>
            </w:r>
          </w:p>
        </w:tc>
        <w:tc>
          <w:tcPr>
            <w:tcW w:w="2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pBdr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Значение реквизита в запросе не более значения текущей даты</w:t>
            </w:r>
          </w:p>
          <w:p>
            <w:pPr>
              <w:pStyle w:val="Normal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2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  <w:highlight w:val="yellow"/>
              </w:rPr>
            </w:pPr>
            <w:r>
              <w:rPr>
                <w:rFonts w:cs="Times New Roman"/>
                <w:sz w:val="20"/>
                <w:szCs w:val="20"/>
              </w:rPr>
              <w:t>В случае невыполнения проверки сервис выдает ответ TreatmentCode = 55 – недопустимое значение даты</w:t>
            </w:r>
          </w:p>
        </w:tc>
        <w:tc>
          <w:tcPr>
            <w:tcW w:w="16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1372" w:hRule="atLeast"/>
        </w:trPr>
        <w:tc>
          <w:tcPr>
            <w:tcW w:w="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2.</w:t>
            </w:r>
          </w:p>
        </w:tc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Бизнес поле запроса</w:t>
            </w:r>
          </w:p>
        </w:tc>
        <w:tc>
          <w:tcPr>
            <w:tcW w:w="1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ДатаОткрНД</w:t>
            </w:r>
          </w:p>
          <w:p>
            <w:pPr>
              <w:pStyle w:val="Normal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  <w:p>
            <w:pPr>
              <w:pStyle w:val="Normal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ДатаОткрКД</w:t>
            </w:r>
          </w:p>
        </w:tc>
        <w:tc>
          <w:tcPr>
            <w:tcW w:w="2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 xml:space="preserve">ДатаОткрНД </w:t>
            </w:r>
            <w:r>
              <w:rPr>
                <w:rFonts w:cs="Times New Roman"/>
                <w:iCs/>
                <w:sz w:val="20"/>
                <w:szCs w:val="20"/>
                <w:lang w:val="en-US"/>
              </w:rPr>
              <w:t>&lt;=</w:t>
            </w:r>
            <w:r>
              <w:rPr>
                <w:rFonts w:cs="Times New Roman"/>
                <w:iCs/>
                <w:sz w:val="20"/>
                <w:szCs w:val="20"/>
              </w:rPr>
              <w:t xml:space="preserve"> ДатаОткрКД</w:t>
            </w:r>
          </w:p>
          <w:p>
            <w:pPr>
              <w:pStyle w:val="Normal"/>
              <w:pBdr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2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В случае невыполнения сервис выдает ответ TreatmentCode = 57 – </w:t>
            </w:r>
            <w:r>
              <w:rPr>
                <w:sz w:val="20"/>
                <w:szCs w:val="20"/>
              </w:rPr>
              <w:t>Недопустимый диапазон дат</w:t>
            </w:r>
          </w:p>
        </w:tc>
        <w:tc>
          <w:tcPr>
            <w:tcW w:w="16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</w:p>
        </w:tc>
      </w:tr>
      <w:tr>
        <w:trPr>
          <w:trHeight w:val="1531" w:hRule="atLeast"/>
        </w:trPr>
        <w:tc>
          <w:tcPr>
            <w:tcW w:w="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3.</w:t>
            </w:r>
          </w:p>
        </w:tc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Бизнес поле запроса</w:t>
            </w:r>
          </w:p>
        </w:tc>
        <w:tc>
          <w:tcPr>
            <w:tcW w:w="1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ИННЮЛ</w:t>
            </w:r>
          </w:p>
        </w:tc>
        <w:tc>
          <w:tcPr>
            <w:tcW w:w="2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pBdr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содержит только цифры;</w:t>
            </w:r>
          </w:p>
          <w:p>
            <w:pPr>
              <w:pStyle w:val="Normal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проверка по алгоритму расчета контрольного числа</w:t>
            </w:r>
          </w:p>
        </w:tc>
        <w:tc>
          <w:tcPr>
            <w:tcW w:w="2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 случае невыполнения хотя бы одной из перечисленных проверок сервис выдает ответ TreatmentCode = 56 – неверный контрольный разряд ИНН</w:t>
            </w:r>
          </w:p>
        </w:tc>
        <w:tc>
          <w:tcPr>
            <w:tcW w:w="16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</w:p>
        </w:tc>
      </w:tr>
      <w:tr>
        <w:trPr>
          <w:trHeight w:val="1263" w:hRule="atLeast"/>
        </w:trPr>
        <w:tc>
          <w:tcPr>
            <w:tcW w:w="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4.</w:t>
            </w:r>
          </w:p>
        </w:tc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Бизнес поле запроса</w:t>
            </w:r>
          </w:p>
        </w:tc>
        <w:tc>
          <w:tcPr>
            <w:tcW w:w="1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ИННЮЛ (+ КПП, если задан)</w:t>
            </w:r>
          </w:p>
          <w:p>
            <w:pPr>
              <w:pStyle w:val="Normal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  <w:tc>
          <w:tcPr>
            <w:tcW w:w="2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ИННЮЛ (+ КПП, если задан)  должны быть найдены в базе данных</w:t>
            </w:r>
          </w:p>
        </w:tc>
        <w:tc>
          <w:tcPr>
            <w:tcW w:w="2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  <w:highlight w:val="yellow"/>
              </w:rPr>
            </w:pPr>
            <w:r>
              <w:rPr>
                <w:rFonts w:cs="Times New Roman"/>
                <w:sz w:val="20"/>
                <w:szCs w:val="20"/>
              </w:rPr>
              <w:t>В случае невыполнения проверки сервис выдает ответ TreatmentCode = 02 - Сведения об организации не найдены</w:t>
            </w:r>
          </w:p>
        </w:tc>
        <w:tc>
          <w:tcPr>
            <w:tcW w:w="16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1100" w:hRule="atLeast"/>
        </w:trPr>
        <w:tc>
          <w:tcPr>
            <w:tcW w:w="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5. </w:t>
            </w:r>
          </w:p>
        </w:tc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Бизнес поле запроса</w:t>
            </w:r>
          </w:p>
        </w:tc>
        <w:tc>
          <w:tcPr>
            <w:tcW w:w="1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 xml:space="preserve">ИННЮЛ </w:t>
            </w:r>
          </w:p>
          <w:p>
            <w:pPr>
              <w:pStyle w:val="Normal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ОГРН</w:t>
            </w:r>
          </w:p>
        </w:tc>
        <w:tc>
          <w:tcPr>
            <w:tcW w:w="2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Если ИННЮЛ найдено, то сочетание ИННЮЛ + ОГРН (если задан) должно быть в найденной записи</w:t>
            </w:r>
          </w:p>
        </w:tc>
        <w:tc>
          <w:tcPr>
            <w:tcW w:w="2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  <w:highlight w:val="yellow"/>
              </w:rPr>
            </w:pPr>
            <w:r>
              <w:rPr>
                <w:rFonts w:cs="Times New Roman"/>
                <w:sz w:val="20"/>
                <w:szCs w:val="20"/>
              </w:rPr>
              <w:t>В случае невыполнения проверки сервис выдает ответ TreatmentCode =10 - Организация определена неоднозначно</w:t>
            </w:r>
          </w:p>
        </w:tc>
        <w:tc>
          <w:tcPr>
            <w:tcW w:w="16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1100" w:hRule="atLeast"/>
        </w:trPr>
        <w:tc>
          <w:tcPr>
            <w:tcW w:w="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6.</w:t>
            </w:r>
          </w:p>
        </w:tc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Бизнес поле запроса</w:t>
            </w:r>
          </w:p>
        </w:tc>
        <w:tc>
          <w:tcPr>
            <w:tcW w:w="1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ДатаОткрНД</w:t>
            </w:r>
          </w:p>
          <w:p>
            <w:pPr>
              <w:pStyle w:val="Normal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ДатаОткрКД</w:t>
            </w:r>
          </w:p>
          <w:p>
            <w:pPr>
              <w:pStyle w:val="Normal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СостСчет</w:t>
            </w:r>
          </w:p>
        </w:tc>
        <w:tc>
          <w:tcPr>
            <w:tcW w:w="2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Если ИННЮЛ найдено, и сочетание ИННЮЛ + ОГРН (если задан) соответствует запросу, то в указанном запросе диапазоне дат должна быть хотя бы одна запись по счету с указанным </w:t>
            </w:r>
            <w:r>
              <w:rPr>
                <w:rFonts w:cs="Times New Roman"/>
                <w:iCs/>
                <w:sz w:val="20"/>
                <w:szCs w:val="20"/>
              </w:rPr>
              <w:t>СостСчет если оно задано в запросе и с любым СостСчет если оно не задано</w:t>
            </w:r>
          </w:p>
        </w:tc>
        <w:tc>
          <w:tcPr>
            <w:tcW w:w="2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  <w:highlight w:val="yellow"/>
              </w:rPr>
            </w:pPr>
            <w:r>
              <w:rPr>
                <w:rFonts w:cs="Times New Roman"/>
                <w:sz w:val="20"/>
                <w:szCs w:val="20"/>
              </w:rPr>
              <w:t>В случае невыполнения проверки сервис выдает ответ TreatmentCode = 01 - Запрашиваемые сведения не найдены</w:t>
            </w:r>
          </w:p>
        </w:tc>
        <w:tc>
          <w:tcPr>
            <w:tcW w:w="16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2"/>
        <w:numPr>
          <w:ilvl w:val="1"/>
          <w:numId w:val="2"/>
        </w:numPr>
        <w:rPr>
          <w:rFonts w:eastAsia="Arial Unicode MS"/>
        </w:rPr>
      </w:pPr>
      <w:bookmarkStart w:id="34" w:name="_Toc452391225"/>
      <w:bookmarkStart w:id="35" w:name="_Toc434503259"/>
      <w:r>
        <w:rPr>
          <w:rFonts w:eastAsia="Arial Unicode MS"/>
        </w:rPr>
        <w:t>Описание кодов возвратов при ошибках и неуспешных проверках</w:t>
      </w:r>
      <w:bookmarkEnd w:id="34"/>
      <w:bookmarkEnd w:id="35"/>
    </w:p>
    <w:tbl>
      <w:tblPr>
        <w:tblW w:w="9645" w:type="dxa"/>
        <w:jc w:val="left"/>
        <w:tblInd w:w="15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80" w:type="dxa"/>
          <w:left w:w="75" w:type="dxa"/>
          <w:bottom w:w="80" w:type="dxa"/>
          <w:right w:w="80" w:type="dxa"/>
        </w:tblCellMar>
        <w:tblLook w:noVBand="1" w:val="04a0" w:noHBand="0" w:lastColumn="0" w:firstColumn="1" w:lastRow="0" w:firstRow="1"/>
      </w:tblPr>
      <w:tblGrid>
        <w:gridCol w:w="708"/>
        <w:gridCol w:w="1559"/>
        <w:gridCol w:w="1843"/>
        <w:gridCol w:w="3722"/>
        <w:gridCol w:w="1813"/>
      </w:tblGrid>
      <w:tr>
        <w:trPr>
          <w:trHeight w:val="662" w:hRule="atLeast"/>
        </w:trPr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Код поля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Значение поля</w:t>
            </w:r>
          </w:p>
        </w:tc>
        <w:tc>
          <w:tcPr>
            <w:tcW w:w="37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Причина</w:t>
            </w:r>
          </w:p>
        </w:tc>
        <w:tc>
          <w:tcPr>
            <w:tcW w:w="18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Комментарий</w:t>
            </w:r>
          </w:p>
        </w:tc>
      </w:tr>
      <w:tr>
        <w:trPr>
          <w:trHeight w:val="358" w:hRule="atLeast"/>
        </w:trPr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7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spacing w:before="0" w:after="60"/>
        <w:ind w:firstLine="709"/>
        <w:jc w:val="both"/>
        <w:rPr>
          <w:rFonts w:cs="Times New Roman"/>
        </w:rPr>
      </w:pPr>
      <w:r>
        <w:rPr>
          <w:rFonts w:cs="Times New Roman"/>
        </w:rPr>
        <w:t>Примечание: обязательно должны в явном виде присутствовать коды мотивированного отказа в предоставлении сведений по причинам:</w:t>
      </w:r>
    </w:p>
    <w:p>
      <w:pPr>
        <w:pStyle w:val="Normal"/>
        <w:spacing w:before="0" w:after="60"/>
        <w:ind w:firstLine="709"/>
        <w:jc w:val="both"/>
        <w:rPr>
          <w:rFonts w:cs="Times New Roman"/>
        </w:rPr>
      </w:pPr>
      <w:r>
        <w:rPr>
          <w:rFonts w:cs="Times New Roman"/>
        </w:rPr>
        <w:t>а) Отсутствия запрашиваемой информации (в данном сервисе, в силу его специфики, отсутствие запрашиваемой информации не предусмотрено);</w:t>
      </w:r>
    </w:p>
    <w:p>
      <w:pPr>
        <w:pStyle w:val="Normal"/>
        <w:spacing w:before="0" w:after="60"/>
        <w:ind w:firstLine="709"/>
        <w:jc w:val="both"/>
        <w:rPr>
          <w:rFonts w:cs="Times New Roman"/>
        </w:rPr>
      </w:pPr>
      <w:r>
        <w:rPr>
          <w:rFonts w:cs="Times New Roman"/>
        </w:rPr>
        <w:t>б) Отказа в предоставлении доступа к запрашиваемой информации (в данном сервисе, в силу его специфики, отказ в предоставлении доступа к запрашиваемой информации не предусмотрен).</w:t>
      </w:r>
    </w:p>
    <w:p>
      <w:pPr>
        <w:pStyle w:val="Normal"/>
        <w:rPr/>
      </w:pPr>
      <w:r>
        <w:rPr/>
      </w:r>
    </w:p>
    <w:p>
      <w:pPr>
        <w:pStyle w:val="2"/>
        <w:numPr>
          <w:ilvl w:val="1"/>
          <w:numId w:val="2"/>
        </w:numPr>
        <w:rPr>
          <w:rFonts w:eastAsia="Arial Unicode MS"/>
        </w:rPr>
      </w:pPr>
      <w:bookmarkStart w:id="36" w:name="_Toc452391226"/>
      <w:bookmarkStart w:id="37" w:name="_Toc432068044"/>
      <w:r>
        <w:rPr>
          <w:rFonts w:eastAsia="Arial Unicode MS"/>
        </w:rPr>
        <w:t>Описание вложений</w:t>
      </w:r>
      <w:bookmarkEnd w:id="36"/>
      <w:bookmarkEnd w:id="37"/>
    </w:p>
    <w:p>
      <w:pPr>
        <w:pStyle w:val="ListParagraph"/>
        <w:ind w:left="0" w:firstLine="720"/>
        <w:jc w:val="both"/>
        <w:rPr>
          <w:rFonts w:cs="Times New Roman"/>
        </w:rPr>
      </w:pPr>
      <w:r>
        <w:rPr>
          <w:rFonts w:cs="Times New Roman"/>
        </w:rPr>
        <w:t>Направление вложений не предусматривается</w:t>
      </w:r>
    </w:p>
    <w:p>
      <w:pPr>
        <w:pStyle w:val="Normal"/>
        <w:rPr>
          <w:rFonts w:ascii="Helvetica" w:hAnsi="Helvetica" w:eastAsia="Times New Roman Полужирный" w:cs="Times New Roman Полужирный" w:asciiTheme="minorHAnsi" w:hAnsiTheme="minorHAnsi"/>
          <w:b/>
          <w:b/>
          <w:bCs/>
          <w:caps/>
          <w:kern w:val="2"/>
          <w:sz w:val="36"/>
          <w:szCs w:val="36"/>
        </w:rPr>
      </w:pPr>
      <w:r>
        <w:rPr>
          <w:rFonts w:eastAsia="Times New Roman Полужирный" w:cs="Times New Roman Полужирный" w:ascii="Helvetica" w:hAnsi="Helvetica"/>
          <w:b/>
          <w:bCs/>
          <w:caps/>
          <w:kern w:val="2"/>
          <w:sz w:val="36"/>
          <w:szCs w:val="36"/>
        </w:rPr>
      </w:r>
      <w:r>
        <w:br w:type="page"/>
      </w:r>
    </w:p>
    <w:p>
      <w:pPr>
        <w:pStyle w:val="1"/>
        <w:numPr>
          <w:ilvl w:val="0"/>
          <w:numId w:val="2"/>
        </w:numPr>
        <w:rPr/>
      </w:pPr>
      <w:bookmarkStart w:id="38" w:name="_Toc452391227"/>
      <w:bookmarkStart w:id="39" w:name="_Toc432068045"/>
      <w:bookmarkStart w:id="40" w:name="_Toc9"/>
      <w:r>
        <w:rPr/>
        <w:t>ДОПОЛНИТЕЛЬНАЯ ИНФОРМАЦИЯ</w:t>
      </w:r>
      <w:bookmarkEnd w:id="38"/>
      <w:bookmarkEnd w:id="39"/>
      <w:bookmarkEnd w:id="40"/>
    </w:p>
    <w:p>
      <w:pPr>
        <w:pStyle w:val="2"/>
        <w:numPr>
          <w:ilvl w:val="1"/>
          <w:numId w:val="2"/>
        </w:numPr>
        <w:rPr/>
      </w:pPr>
      <w:bookmarkStart w:id="41" w:name="_Toc452391228"/>
      <w:bookmarkStart w:id="42" w:name="_Toc432068046"/>
      <w:bookmarkStart w:id="43" w:name="_Toc10"/>
      <w:r>
        <w:rPr/>
        <w:t>Состав справочной информации</w:t>
      </w:r>
      <w:bookmarkEnd w:id="41"/>
      <w:bookmarkEnd w:id="42"/>
      <w:bookmarkEnd w:id="43"/>
    </w:p>
    <w:p>
      <w:pPr>
        <w:pStyle w:val="Normal"/>
        <w:rPr/>
      </w:pPr>
      <w:r>
        <w:rPr/>
        <w:t>Справочники не используются.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*Примечание: все используемые справочники необходимо вносить в Единую систему нормативно справочной информации (ЕСНСИ).</w:t>
      </w:r>
    </w:p>
    <w:p>
      <w:pPr>
        <w:pStyle w:val="Normal"/>
        <w:rPr/>
      </w:pPr>
      <w:r>
        <w:rPr/>
        <w:t>При отсутствии справочников, владельцем которых не является разработчик формата вида сведения, в ЕСНСИ, необходимо давать прямую отсылку на ресурс, где опубликован справочник и размещать актуальную версию с обязательным указанием даты в приложении к руководству пользователя.</w:t>
      </w:r>
    </w:p>
    <w:p>
      <w:pPr>
        <w:pStyle w:val="Normal"/>
        <w:rPr/>
      </w:pPr>
      <w:r>
        <w:rPr/>
      </w:r>
    </w:p>
    <w:p>
      <w:pPr>
        <w:pStyle w:val="2"/>
        <w:numPr>
          <w:ilvl w:val="1"/>
          <w:numId w:val="2"/>
        </w:numPr>
        <w:rPr/>
      </w:pPr>
      <w:bookmarkStart w:id="44" w:name="_Toc452391229"/>
      <w:bookmarkStart w:id="45" w:name="_Toc432068047"/>
      <w:bookmarkStart w:id="46" w:name="_Toc11"/>
      <w:r>
        <w:rPr/>
        <w:t>Контактная информация</w:t>
      </w:r>
      <w:bookmarkEnd w:id="44"/>
      <w:bookmarkEnd w:id="45"/>
      <w:bookmarkEnd w:id="46"/>
    </w:p>
    <w:p>
      <w:pPr>
        <w:pStyle w:val="Normal"/>
        <w:rPr/>
      </w:pPr>
      <w:r>
        <w:rPr/>
        <w:t>Разработчик формата вида сведения подключен к Ситуационному центру электронного правительства (СЦ).</w:t>
      </w:r>
    </w:p>
    <w:p>
      <w:pPr>
        <w:pStyle w:val="Normal"/>
        <w:rPr/>
      </w:pPr>
      <w:r>
        <w:rPr/>
      </w:r>
    </w:p>
    <w:p>
      <w:pPr>
        <w:pStyle w:val="2"/>
        <w:numPr>
          <w:ilvl w:val="1"/>
          <w:numId w:val="2"/>
        </w:numPr>
        <w:rPr/>
      </w:pPr>
      <w:bookmarkStart w:id="47" w:name="_Toc452391230"/>
      <w:bookmarkStart w:id="48" w:name="_Toc432068048"/>
      <w:bookmarkStart w:id="49" w:name="_Toc12"/>
      <w:r>
        <w:rPr/>
        <w:t>Примечания</w:t>
      </w:r>
      <w:bookmarkEnd w:id="47"/>
      <w:bookmarkEnd w:id="48"/>
      <w:bookmarkEnd w:id="49"/>
    </w:p>
    <w:p>
      <w:pPr>
        <w:pStyle w:val="Normal"/>
        <w:rPr/>
      </w:pPr>
      <w:r>
        <w:rPr/>
        <w:t>Отсутствуют.</w:t>
      </w:r>
    </w:p>
    <w:sectPr>
      <w:headerReference w:type="default" r:id="rId2"/>
      <w:footerReference w:type="default" r:id="rId3"/>
      <w:footnotePr>
        <w:numFmt w:val="decimal"/>
      </w:footnotePr>
      <w:type w:val="nextPage"/>
      <w:pgSz w:w="11906" w:h="16838"/>
      <w:pgMar w:left="1701" w:right="746" w:header="709" w:top="1134" w:footer="709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Helvetica">
    <w:altName w:val="Arial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4</w:t>
    </w:r>
    <w:r>
      <w:rPr/>
      <w:fldChar w:fldCharType="end"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Style27"/>
        <w:rPr/>
      </w:pPr>
      <w:r>
        <w:rPr>
          <w:rStyle w:val="Style14"/>
        </w:rPr>
        <w:footnoteRef/>
      </w:r>
      <w:r>
        <w:rPr>
          <w:rStyle w:val="FootnoteCharacters"/>
        </w:rPr>
        <w:tab/>
      </w:r>
      <w:r>
        <w:rPr/>
        <w:t xml:space="preserve"> </w:t>
      </w:r>
      <w:r>
        <w:rPr/>
        <w:t>Н – необязательный атрибут (элемент)</w:t>
      </w:r>
    </w:p>
  </w:footnote>
  <w:footnote w:id="3">
    <w:p>
      <w:pPr>
        <w:pStyle w:val="Style27"/>
        <w:rPr/>
      </w:pPr>
      <w:r>
        <w:rPr>
          <w:rStyle w:val="Style14"/>
        </w:rPr>
        <w:footnoteRef/>
      </w:r>
      <w:r>
        <w:rPr>
          <w:rStyle w:val="FootnoteCharacters"/>
        </w:rPr>
        <w:tab/>
      </w:r>
      <w:r>
        <w:rPr/>
        <w:t xml:space="preserve"> </w:t>
      </w:r>
      <w:r>
        <w:rPr/>
        <w:t>К – кодовое значение из перечня значений или из справочника</w:t>
      </w:r>
    </w:p>
  </w:footnote>
  <w:footnote w:id="4">
    <w:p>
      <w:pPr>
        <w:pStyle w:val="Style27"/>
        <w:rPr/>
      </w:pPr>
      <w:r>
        <w:rPr>
          <w:rStyle w:val="Style14"/>
        </w:rPr>
        <w:footnoteRef/>
      </w:r>
      <w:r>
        <w:rPr>
          <w:rStyle w:val="FootnoteCharacters"/>
        </w:rPr>
        <w:tab/>
      </w:r>
      <w:r>
        <w:rPr/>
        <w:t xml:space="preserve"> </w:t>
      </w:r>
      <w:r>
        <w:rPr/>
        <w:t>О – обязательный атрибут (элемент)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pBdr>
        <w:bottom w:val="single" w:sz="4" w:space="0" w:color="00000A"/>
      </w:pBdr>
      <w:jc w:val="center"/>
      <w:rPr>
        <w:sz w:val="20"/>
        <w:szCs w:val="20"/>
      </w:rPr>
    </w:pPr>
    <w:r>
      <w:rPr>
        <w:sz w:val="20"/>
        <w:szCs w:val="20"/>
      </w:rPr>
      <w:t xml:space="preserve">Руководство пользователя </w:t>
    </w:r>
    <w:bookmarkStart w:id="50" w:name="OLE_LINK2"/>
    <w:bookmarkStart w:id="51" w:name="OLE_LINK1"/>
    <w:r>
      <w:rPr>
        <w:sz w:val="20"/>
        <w:szCs w:val="20"/>
      </w:rPr>
      <w:t>«</w:t>
    </w:r>
    <w:bookmarkEnd w:id="50"/>
    <w:bookmarkEnd w:id="51"/>
    <w:r>
      <w:rPr>
        <w:bCs/>
        <w:sz w:val="20"/>
        <w:szCs w:val="20"/>
      </w:rPr>
      <w:t>Сведения о банковских счетах резидентов – организаций, открытых в банках, расположенных за пределами территории Российской Федерации</w:t>
    </w:r>
    <w:r>
      <w:rPr>
        <w:sz w:val="20"/>
        <w:szCs w:val="20"/>
      </w:rPr>
      <w:t>»</w:t>
    </w:r>
  </w:p>
  <w:p>
    <w:pPr>
      <w:pStyle w:val="Style22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decimal"/>
      <w:lvlText w:val="%1."/>
      <w:lvlJc w:val="left"/>
      <w:pPr>
        <w:ind w:left="1069" w:hanging="360"/>
      </w:pPr>
    </w:lvl>
    <w:lvl w:ilvl="1">
      <w:start w:val="1"/>
      <w:pStyle w:val="2"/>
      <w:numFmt w:val="decimal"/>
      <w:lvlText w:val="%1.%2."/>
      <w:lvlJc w:val="left"/>
      <w:pPr>
        <w:tabs>
          <w:tab w:val="num" w:pos="1284"/>
        </w:tabs>
        <w:ind w:left="1284" w:hanging="576"/>
      </w:pPr>
    </w:lvl>
    <w:lvl w:ilvl="2">
      <w:start w:val="1"/>
      <w:pStyle w:val="3"/>
      <w:numFmt w:val="decimal"/>
      <w:lvlText w:val="%1.%2.%3."/>
      <w:lvlJc w:val="left"/>
      <w:pPr>
        <w:tabs>
          <w:tab w:val="num" w:pos="1997"/>
        </w:tabs>
        <w:ind w:left="1997" w:hanging="720"/>
      </w:pPr>
      <w:rPr>
        <w:rFonts w:cs="Times New Roman"/>
      </w:rPr>
    </w:lvl>
    <w:lvl w:ilvl="3">
      <w:start w:val="1"/>
      <w:pStyle w:val="4"/>
      <w:numFmt w:val="decimal"/>
      <w:lvlText w:val="%1.%2.%3.%4"/>
      <w:lvlJc w:val="left"/>
      <w:pPr>
        <w:tabs>
          <w:tab w:val="num" w:pos="1431"/>
        </w:tabs>
        <w:ind w:left="1431" w:hanging="864"/>
      </w:pPr>
    </w:lvl>
    <w:lvl w:ilvl="4">
      <w:start w:val="1"/>
      <w:pStyle w:val="5"/>
      <w:numFmt w:val="decimal"/>
      <w:lvlText w:val="%1.%2.%3.%4.%5"/>
      <w:lvlJc w:val="left"/>
      <w:pPr>
        <w:tabs>
          <w:tab w:val="num" w:pos="1860"/>
        </w:tabs>
        <w:ind w:left="284" w:hanging="-568"/>
      </w:pPr>
      <w:rPr>
        <w:lang w:val="ru-RU"/>
      </w:rPr>
    </w:lvl>
    <w:lvl w:ilvl="5">
      <w:start w:val="1"/>
      <w:pStyle w:val="6"/>
      <w:numFmt w:val="decimal"/>
      <w:lvlText w:val="%1.%2.%3.%4.%5.%6"/>
      <w:lvlJc w:val="left"/>
      <w:pPr>
        <w:tabs>
          <w:tab w:val="num" w:pos="1860"/>
        </w:tabs>
        <w:ind w:left="1860" w:hanging="1152"/>
      </w:pPr>
    </w:lvl>
    <w:lvl w:ilvl="6">
      <w:start w:val="1"/>
      <w:pStyle w:val="7"/>
      <w:numFmt w:val="decimal"/>
      <w:lvlText w:val="%1.%2.%3.%4.%5.%6.%7"/>
      <w:lvlJc w:val="left"/>
      <w:pPr>
        <w:tabs>
          <w:tab w:val="num" w:pos="2004"/>
        </w:tabs>
        <w:ind w:left="2004" w:hanging="1296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tabs>
          <w:tab w:val="num" w:pos="1284"/>
        </w:tabs>
        <w:ind w:left="1284" w:hanging="576"/>
      </w:pPr>
    </w:lvl>
    <w:lvl w:ilvl="2">
      <w:start w:val="1"/>
      <w:numFmt w:val="decimal"/>
      <w:lvlText w:val="%1.%2.%3."/>
      <w:lvlJc w:val="left"/>
      <w:pPr>
        <w:tabs>
          <w:tab w:val="num" w:pos="1997"/>
        </w:tabs>
        <w:ind w:left="1997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431"/>
        </w:tabs>
        <w:ind w:left="1431" w:hanging="864"/>
      </w:pPr>
    </w:lvl>
    <w:lvl w:ilvl="4">
      <w:start w:val="1"/>
      <w:numFmt w:val="decimal"/>
      <w:lvlText w:val="%1.%2.%3.%4.%5"/>
      <w:lvlJc w:val="left"/>
      <w:pPr>
        <w:tabs>
          <w:tab w:val="num" w:pos="1860"/>
        </w:tabs>
        <w:ind w:left="284" w:hanging="-568"/>
      </w:pPr>
      <w:rPr>
        <w:lang w:val="ru-RU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2"/>
  <w:defaultTabStop w:val="284"/>
  <w:footnotePr>
    <w:numFmt w:val="decimal"/>
    <w:footnote w:id="0"/>
    <w:footnote w:id="1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rial Unicode MS" w:cs="Times New Roman"/>
        <w:lang w:val="ru-RU" w:eastAsia="ru-RU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e44b7"/>
    <w:pPr>
      <w:widowControl/>
      <w:pBdr/>
      <w:bidi w:val="0"/>
      <w:jc w:val="left"/>
    </w:pPr>
    <w:rPr>
      <w:rFonts w:cs="Arial Unicode MS" w:ascii="Times New Roman" w:hAnsi="Times New Roman" w:eastAsia="Arial Unicode MS"/>
      <w:color w:val="auto"/>
      <w:kern w:val="0"/>
      <w:sz w:val="24"/>
      <w:szCs w:val="24"/>
      <w:u w:val="none" w:color="000000"/>
      <w:lang w:val="ru-RU" w:eastAsia="ru-RU" w:bidi="ar-SA"/>
    </w:rPr>
  </w:style>
  <w:style w:type="paragraph" w:styleId="1">
    <w:name w:val="Heading 1"/>
    <w:basedOn w:val="Normal"/>
    <w:link w:val="10"/>
    <w:autoRedefine/>
    <w:qFormat/>
    <w:rsid w:val="008e57f0"/>
    <w:pPr>
      <w:keepNext w:val="true"/>
      <w:numPr>
        <w:ilvl w:val="0"/>
        <w:numId w:val="1"/>
      </w:numPr>
      <w:pBdr/>
      <w:spacing w:before="240" w:after="240"/>
      <w:jc w:val="both"/>
      <w:outlineLvl w:val="0"/>
    </w:pPr>
    <w:rPr>
      <w:rFonts w:eastAsia="Times New Roman" w:cs="Arial"/>
      <w:b/>
      <w:bCs/>
      <w:kern w:val="2"/>
      <w:sz w:val="28"/>
      <w:szCs w:val="32"/>
    </w:rPr>
  </w:style>
  <w:style w:type="paragraph" w:styleId="2">
    <w:name w:val="Heading 2"/>
    <w:basedOn w:val="Normal"/>
    <w:link w:val="20"/>
    <w:autoRedefine/>
    <w:qFormat/>
    <w:rsid w:val="00404cca"/>
    <w:pPr>
      <w:keepNext w:val="true"/>
      <w:numPr>
        <w:ilvl w:val="1"/>
        <w:numId w:val="1"/>
      </w:numPr>
      <w:pBdr/>
      <w:spacing w:before="240" w:after="120"/>
      <w:jc w:val="both"/>
      <w:outlineLvl w:val="1"/>
    </w:pPr>
    <w:rPr>
      <w:rFonts w:eastAsia="Times New Roman" w:cs="Arial"/>
      <w:b/>
      <w:bCs/>
      <w:iCs/>
      <w:sz w:val="28"/>
      <w:szCs w:val="28"/>
    </w:rPr>
  </w:style>
  <w:style w:type="paragraph" w:styleId="3">
    <w:name w:val="Heading 3"/>
    <w:basedOn w:val="Normal"/>
    <w:link w:val="30"/>
    <w:autoRedefine/>
    <w:qFormat/>
    <w:rsid w:val="00a804e7"/>
    <w:pPr>
      <w:keepNext w:val="true"/>
      <w:numPr>
        <w:ilvl w:val="2"/>
        <w:numId w:val="1"/>
      </w:numPr>
      <w:pBdr/>
      <w:spacing w:before="240" w:after="60"/>
      <w:jc w:val="both"/>
      <w:outlineLvl w:val="2"/>
    </w:pPr>
    <w:rPr>
      <w:rFonts w:eastAsia="Times New Roman" w:cs="Times New Roman"/>
      <w:b/>
      <w:bCs/>
      <w:szCs w:val="26"/>
      <w:lang w:val="x-none" w:eastAsia="x-none"/>
    </w:rPr>
  </w:style>
  <w:style w:type="paragraph" w:styleId="4">
    <w:name w:val="Heading 4"/>
    <w:basedOn w:val="Normal"/>
    <w:link w:val="40"/>
    <w:qFormat/>
    <w:rsid w:val="008e57f0"/>
    <w:pPr>
      <w:keepNext w:val="true"/>
      <w:numPr>
        <w:ilvl w:val="3"/>
        <w:numId w:val="1"/>
      </w:numPr>
      <w:pBdr/>
      <w:spacing w:before="240" w:after="60"/>
      <w:jc w:val="both"/>
      <w:outlineLvl w:val="3"/>
    </w:pPr>
    <w:rPr>
      <w:rFonts w:eastAsia="Times New Roman" w:cs="Times New Roman"/>
      <w:bCs/>
      <w:i/>
      <w:sz w:val="28"/>
      <w:szCs w:val="28"/>
    </w:rPr>
  </w:style>
  <w:style w:type="paragraph" w:styleId="5">
    <w:name w:val="Heading 5"/>
    <w:basedOn w:val="Normal"/>
    <w:link w:val="50"/>
    <w:qFormat/>
    <w:rsid w:val="008e57f0"/>
    <w:pPr>
      <w:numPr>
        <w:ilvl w:val="4"/>
        <w:numId w:val="1"/>
      </w:numPr>
      <w:pBdr/>
      <w:spacing w:before="240" w:after="60"/>
      <w:jc w:val="both"/>
      <w:outlineLvl w:val="4"/>
    </w:pPr>
    <w:rPr>
      <w:rFonts w:eastAsia="Times New Roman" w:cs="Times New Roman"/>
      <w:bCs/>
      <w:iCs/>
      <w:sz w:val="28"/>
      <w:szCs w:val="26"/>
      <w:lang w:val="x-none" w:eastAsia="x-none"/>
    </w:rPr>
  </w:style>
  <w:style w:type="paragraph" w:styleId="6">
    <w:name w:val="Heading 6"/>
    <w:basedOn w:val="Normal"/>
    <w:link w:val="60"/>
    <w:qFormat/>
    <w:rsid w:val="008e57f0"/>
    <w:pPr>
      <w:numPr>
        <w:ilvl w:val="5"/>
        <w:numId w:val="1"/>
      </w:numPr>
      <w:pBdr/>
      <w:spacing w:before="240" w:after="60"/>
      <w:jc w:val="both"/>
      <w:outlineLvl w:val="5"/>
    </w:pPr>
    <w:rPr>
      <w:rFonts w:eastAsia="Times New Roman" w:cs="Times New Roman"/>
      <w:bCs/>
      <w:sz w:val="28"/>
      <w:szCs w:val="22"/>
      <w:lang w:val="x-none" w:eastAsia="x-none"/>
    </w:rPr>
  </w:style>
  <w:style w:type="paragraph" w:styleId="7">
    <w:name w:val="Heading 7"/>
    <w:basedOn w:val="Normal"/>
    <w:link w:val="70"/>
    <w:qFormat/>
    <w:rsid w:val="008e57f0"/>
    <w:pPr>
      <w:numPr>
        <w:ilvl w:val="6"/>
        <w:numId w:val="1"/>
      </w:numPr>
      <w:pBdr/>
      <w:spacing w:before="240" w:after="60"/>
      <w:jc w:val="both"/>
      <w:outlineLvl w:val="6"/>
    </w:pPr>
    <w:rPr>
      <w:rFonts w:eastAsia="Times New Roman" w:cs="Times New Roma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7">
    <w:name w:val="Интернет-ссылка"/>
    <w:uiPriority w:val="99"/>
    <w:rPr>
      <w:u w:val="single"/>
    </w:rPr>
  </w:style>
  <w:style w:type="character" w:styleId="41" w:customStyle="1">
    <w:name w:val="Заголовок 4 Знак"/>
    <w:basedOn w:val="DefaultParagraphFont"/>
    <w:link w:val="4"/>
    <w:qFormat/>
    <w:rsid w:val="007d3ded"/>
    <w:rPr>
      <w:rFonts w:eastAsia="Times New Roman"/>
      <w:bCs/>
      <w:i/>
      <w:sz w:val="28"/>
      <w:szCs w:val="28"/>
    </w:rPr>
  </w:style>
  <w:style w:type="character" w:styleId="51" w:customStyle="1">
    <w:name w:val="Заголовок 5 Знак"/>
    <w:link w:val="5"/>
    <w:qFormat/>
    <w:rsid w:val="008e57f0"/>
    <w:rPr>
      <w:rFonts w:eastAsia="Times New Roman"/>
      <w:bCs/>
      <w:iCs/>
      <w:sz w:val="28"/>
      <w:szCs w:val="26"/>
      <w:lang w:val="x-none" w:eastAsia="x-none"/>
    </w:rPr>
  </w:style>
  <w:style w:type="character" w:styleId="61" w:customStyle="1">
    <w:name w:val="Заголовок 6 Знак"/>
    <w:link w:val="6"/>
    <w:qFormat/>
    <w:rsid w:val="008e57f0"/>
    <w:rPr>
      <w:rFonts w:eastAsia="Times New Roman"/>
      <w:bCs/>
      <w:sz w:val="28"/>
      <w:szCs w:val="22"/>
      <w:lang w:val="x-none" w:eastAsia="x-none"/>
    </w:rPr>
  </w:style>
  <w:style w:type="character" w:styleId="71" w:customStyle="1">
    <w:name w:val="Заголовок 7 Знак"/>
    <w:basedOn w:val="DefaultParagraphFont"/>
    <w:link w:val="7"/>
    <w:qFormat/>
    <w:rsid w:val="008e57f0"/>
    <w:rPr>
      <w:rFonts w:eastAsia="Times New Roman"/>
      <w:sz w:val="24"/>
      <w:szCs w:val="24"/>
    </w:rPr>
  </w:style>
  <w:style w:type="character" w:styleId="21" w:customStyle="1">
    <w:name w:val="Заголовок 2 Знак"/>
    <w:basedOn w:val="DefaultParagraphFont"/>
    <w:link w:val="2"/>
    <w:qFormat/>
    <w:rsid w:val="00404cca"/>
    <w:rPr>
      <w:rFonts w:eastAsia="Times New Roman" w:cs="Arial"/>
      <w:b/>
      <w:bCs/>
      <w:iCs/>
      <w:sz w:val="28"/>
      <w:szCs w:val="28"/>
    </w:rPr>
  </w:style>
  <w:style w:type="character" w:styleId="31" w:customStyle="1">
    <w:name w:val="Заголовок 3 Знак"/>
    <w:link w:val="3"/>
    <w:qFormat/>
    <w:rsid w:val="00a804e7"/>
    <w:rPr>
      <w:rFonts w:eastAsia="Times New Roman"/>
      <w:b/>
      <w:bCs/>
      <w:sz w:val="24"/>
      <w:szCs w:val="26"/>
      <w:u w:val="none" w:color="000000"/>
      <w:lang w:val="x-none" w:eastAsia="x-none"/>
    </w:rPr>
  </w:style>
  <w:style w:type="character" w:styleId="Style8">
    <w:name w:val="Символ нумерации"/>
    <w:qFormat/>
    <w:rPr/>
  </w:style>
  <w:style w:type="character" w:styleId="11" w:customStyle="1">
    <w:name w:val="Заголовок 1 Знак"/>
    <w:basedOn w:val="DefaultParagraphFont"/>
    <w:link w:val="1"/>
    <w:qFormat/>
    <w:rsid w:val="008e57f0"/>
    <w:rPr>
      <w:rFonts w:eastAsia="Times New Roman" w:cs="Arial"/>
      <w:b/>
      <w:bCs/>
      <w:kern w:val="2"/>
      <w:sz w:val="28"/>
      <w:szCs w:val="32"/>
    </w:rPr>
  </w:style>
  <w:style w:type="character" w:styleId="Style9" w:customStyle="1">
    <w:name w:val="Текст выноски Знак"/>
    <w:basedOn w:val="DefaultParagraphFont"/>
    <w:link w:val="a8"/>
    <w:uiPriority w:val="99"/>
    <w:semiHidden/>
    <w:qFormat/>
    <w:rsid w:val="0096243a"/>
    <w:rPr>
      <w:rFonts w:ascii="Tahoma" w:hAnsi="Tahoma" w:cs="Tahoma"/>
      <w:color w:val="000000"/>
      <w:sz w:val="16"/>
      <w:szCs w:val="16"/>
      <w:u w:val="none" w:color="000000"/>
    </w:rPr>
  </w:style>
  <w:style w:type="character" w:styleId="Style10" w:customStyle="1">
    <w:name w:val="Основной текст с отступом Знак"/>
    <w:basedOn w:val="DefaultParagraphFont"/>
    <w:link w:val="aa"/>
    <w:qFormat/>
    <w:rsid w:val="008f374e"/>
    <w:rPr>
      <w:rFonts w:eastAsia="Times New Roman"/>
      <w:sz w:val="24"/>
      <w:szCs w:val="24"/>
    </w:rPr>
  </w:style>
  <w:style w:type="character" w:styleId="Style11" w:customStyle="1">
    <w:name w:val="Текст сноски Знак"/>
    <w:basedOn w:val="DefaultParagraphFont"/>
    <w:link w:val="ad"/>
    <w:uiPriority w:val="99"/>
    <w:semiHidden/>
    <w:qFormat/>
    <w:rsid w:val="00433a9c"/>
    <w:rPr>
      <w:rFonts w:ascii="Arial Unicode MS" w:hAnsi="Arial Unicode MS" w:cs="Arial Unicode MS"/>
      <w:color w:val="000000"/>
      <w:u w:val="none" w:color="000000"/>
    </w:rPr>
  </w:style>
  <w:style w:type="character" w:styleId="Style12">
    <w:name w:val="Привязка сноски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433a9c"/>
    <w:rPr>
      <w:vertAlign w:val="superscript"/>
    </w:rPr>
  </w:style>
  <w:style w:type="character" w:styleId="ListLabel1">
    <w:name w:val="ListLabel 1"/>
    <w:qFormat/>
    <w:rPr>
      <w:rFonts w:cs="Times New Roman"/>
    </w:rPr>
  </w:style>
  <w:style w:type="character" w:styleId="ListLabel2">
    <w:name w:val="ListLabel 2"/>
    <w:qFormat/>
    <w:rPr>
      <w:rFonts w:cs="Times New Roman"/>
      <w:color w:val="00000A"/>
    </w:rPr>
  </w:style>
  <w:style w:type="character" w:styleId="ListLabel3">
    <w:name w:val="ListLabel 3"/>
    <w:qFormat/>
    <w:rPr>
      <w:rFonts w:cs="Times New Roman"/>
    </w:rPr>
  </w:style>
  <w:style w:type="character" w:styleId="ListLabel4">
    <w:name w:val="ListLabel 4"/>
    <w:qFormat/>
    <w:rPr>
      <w:rFonts w:cs="Times New Roman"/>
    </w:rPr>
  </w:style>
  <w:style w:type="character" w:styleId="ListLabel5">
    <w:name w:val="ListLabel 5"/>
    <w:qFormat/>
    <w:rPr>
      <w:rFonts w:cs="Times New Roman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character" w:styleId="ListLabel10">
    <w:name w:val="ListLabel 10"/>
    <w:qFormat/>
    <w:rPr>
      <w:rFonts w:cs="Times New Roman"/>
    </w:rPr>
  </w:style>
  <w:style w:type="character" w:styleId="ListLabel11">
    <w:name w:val="ListLabel 11"/>
    <w:qFormat/>
    <w:rPr>
      <w:lang w:val="ru-RU"/>
    </w:rPr>
  </w:style>
  <w:style w:type="character" w:styleId="ListLabel12">
    <w:name w:val="ListLabel 12"/>
    <w:qFormat/>
    <w:rPr>
      <w:rFonts w:cs="Times New Roman"/>
    </w:rPr>
  </w:style>
  <w:style w:type="character" w:styleId="ListLabel13">
    <w:name w:val="ListLabel 13"/>
    <w:qFormat/>
    <w:rPr>
      <w:lang w:val="ru-RU"/>
    </w:rPr>
  </w:style>
  <w:style w:type="character" w:styleId="ListLabel14">
    <w:name w:val="ListLabel 14"/>
    <w:qFormat/>
    <w:rPr>
      <w:rFonts w:cs="Times New Roman"/>
    </w:rPr>
  </w:style>
  <w:style w:type="character" w:styleId="ListLabel15">
    <w:name w:val="ListLabel 15"/>
    <w:qFormat/>
    <w:rPr>
      <w:lang w:val="ru-RU"/>
    </w:rPr>
  </w:style>
  <w:style w:type="character" w:styleId="ListLabel16">
    <w:name w:val="ListLabel 16"/>
    <w:qFormat/>
    <w:rPr>
      <w:rFonts w:cs="Times New Roman"/>
    </w:rPr>
  </w:style>
  <w:style w:type="character" w:styleId="ListLabel17">
    <w:name w:val="ListLabel 17"/>
    <w:qFormat/>
    <w:rPr>
      <w:lang w:val="ru-RU"/>
    </w:rPr>
  </w:style>
  <w:style w:type="character" w:styleId="ListLabel18">
    <w:name w:val="ListLabel 18"/>
    <w:qFormat/>
    <w:rPr>
      <w:rFonts w:cs="Times New Roman"/>
    </w:rPr>
  </w:style>
  <w:style w:type="character" w:styleId="ListLabel19">
    <w:name w:val="ListLabel 19"/>
    <w:qFormat/>
    <w:rPr>
      <w:lang w:val="ru-RU"/>
    </w:rPr>
  </w:style>
  <w:style w:type="character" w:styleId="ListLabel20">
    <w:name w:val="ListLabel 20"/>
    <w:qFormat/>
    <w:rPr>
      <w:rFonts w:cs="Times New Roman"/>
    </w:rPr>
  </w:style>
  <w:style w:type="character" w:styleId="ListLabel21">
    <w:name w:val="ListLabel 21"/>
    <w:qFormat/>
    <w:rPr>
      <w:lang w:val="ru-RU"/>
    </w:rPr>
  </w:style>
  <w:style w:type="character" w:styleId="ListLabel22">
    <w:name w:val="ListLabel 22"/>
    <w:qFormat/>
    <w:rPr>
      <w:rFonts w:cs="Times New Roman"/>
    </w:rPr>
  </w:style>
  <w:style w:type="character" w:styleId="ListLabel23">
    <w:name w:val="ListLabel 23"/>
    <w:qFormat/>
    <w:rPr>
      <w:lang w:val="ru-RU"/>
    </w:rPr>
  </w:style>
  <w:style w:type="character" w:styleId="ListLabel24">
    <w:name w:val="ListLabel 24"/>
    <w:qFormat/>
    <w:rPr>
      <w:rFonts w:cs="Times New Roman"/>
    </w:rPr>
  </w:style>
  <w:style w:type="character" w:styleId="ListLabel25">
    <w:name w:val="ListLabel 25"/>
    <w:qFormat/>
    <w:rPr>
      <w:lang w:val="ru-RU"/>
    </w:rPr>
  </w:style>
  <w:style w:type="character" w:styleId="ListLabel26">
    <w:name w:val="ListLabel 26"/>
    <w:qFormat/>
    <w:rPr>
      <w:rFonts w:cs="Times New Roman"/>
    </w:rPr>
  </w:style>
  <w:style w:type="character" w:styleId="ListLabel27">
    <w:name w:val="ListLabel 27"/>
    <w:qFormat/>
    <w:rPr>
      <w:lang w:val="ru-RU"/>
    </w:rPr>
  </w:style>
  <w:style w:type="character" w:styleId="ListLabel28">
    <w:name w:val="ListLabel 28"/>
    <w:qFormat/>
    <w:rPr>
      <w:rFonts w:eastAsia="Times New Roman" w:cs="Times New Roman"/>
      <w:b w:val="false"/>
      <w:bCs w:val="false"/>
      <w:i w:val="false"/>
      <w:iCs w:val="false"/>
      <w:caps/>
      <w:strike w:val="false"/>
      <w:dstrike w:val="false"/>
      <w:color w:val="000000"/>
      <w:spacing w:val="0"/>
      <w:kern w:val="0"/>
      <w:position w:val="0"/>
      <w:sz w:val="24"/>
      <w:sz w:val="24"/>
      <w:szCs w:val="24"/>
      <w:u w:val="none" w:color="000000"/>
      <w:vertAlign w:val="baseline"/>
    </w:rPr>
  </w:style>
  <w:style w:type="character" w:styleId="ListLabel29">
    <w:name w:val="ListLabel 29"/>
    <w:qFormat/>
    <w:rPr>
      <w:rFonts w:eastAsia="Times New Roman" w:cs="Times New Roman"/>
      <w:b w:val="false"/>
      <w:bCs w:val="false"/>
      <w:i w:val="false"/>
      <w:iCs w:val="false"/>
      <w:caps/>
      <w:strike w:val="false"/>
      <w:dstrike w:val="false"/>
      <w:color w:val="000000"/>
      <w:spacing w:val="0"/>
      <w:kern w:val="0"/>
      <w:position w:val="0"/>
      <w:sz w:val="24"/>
      <w:sz w:val="24"/>
      <w:szCs w:val="24"/>
      <w:u w:val="none" w:color="000000"/>
      <w:vertAlign w:val="baseline"/>
    </w:rPr>
  </w:style>
  <w:style w:type="character" w:styleId="ListLabel30">
    <w:name w:val="ListLabel 30"/>
    <w:qFormat/>
    <w:rPr>
      <w:rFonts w:eastAsia="Times New Roman" w:cs="Times New Roman"/>
      <w:b w:val="false"/>
      <w:bCs w:val="false"/>
      <w:i w:val="false"/>
      <w:iCs w:val="false"/>
      <w:caps/>
      <w:strike w:val="false"/>
      <w:dstrike w:val="false"/>
      <w:color w:val="000000"/>
      <w:spacing w:val="0"/>
      <w:kern w:val="0"/>
      <w:position w:val="0"/>
      <w:sz w:val="24"/>
      <w:sz w:val="24"/>
      <w:szCs w:val="24"/>
      <w:u w:val="none" w:color="000000"/>
      <w:vertAlign w:val="baseline"/>
    </w:rPr>
  </w:style>
  <w:style w:type="character" w:styleId="ListLabel31">
    <w:name w:val="ListLabel 31"/>
    <w:qFormat/>
    <w:rPr>
      <w:rFonts w:eastAsia="Times New Roman" w:cs="Times New Roman"/>
      <w:b w:val="false"/>
      <w:bCs w:val="false"/>
      <w:i w:val="false"/>
      <w:iCs w:val="false"/>
      <w:caps/>
      <w:strike w:val="false"/>
      <w:dstrike w:val="false"/>
      <w:color w:val="000000"/>
      <w:spacing w:val="0"/>
      <w:kern w:val="0"/>
      <w:position w:val="0"/>
      <w:sz w:val="24"/>
      <w:sz w:val="24"/>
      <w:szCs w:val="24"/>
      <w:u w:val="none" w:color="000000"/>
      <w:vertAlign w:val="baseline"/>
    </w:rPr>
  </w:style>
  <w:style w:type="character" w:styleId="ListLabel32">
    <w:name w:val="ListLabel 32"/>
    <w:qFormat/>
    <w:rPr>
      <w:rFonts w:eastAsia="Times New Roman" w:cs="Times New Roman"/>
      <w:b w:val="false"/>
      <w:bCs w:val="false"/>
      <w:i w:val="false"/>
      <w:iCs w:val="false"/>
      <w:caps/>
      <w:strike w:val="false"/>
      <w:dstrike w:val="false"/>
      <w:color w:val="000000"/>
      <w:spacing w:val="0"/>
      <w:kern w:val="0"/>
      <w:position w:val="0"/>
      <w:sz w:val="24"/>
      <w:sz w:val="24"/>
      <w:szCs w:val="24"/>
      <w:u w:val="none" w:color="000000"/>
      <w:vertAlign w:val="baseline"/>
    </w:rPr>
  </w:style>
  <w:style w:type="character" w:styleId="ListLabel33">
    <w:name w:val="ListLabel 33"/>
    <w:qFormat/>
    <w:rPr>
      <w:rFonts w:eastAsia="Times New Roman" w:cs="Times New Roman"/>
      <w:b w:val="false"/>
      <w:bCs w:val="false"/>
      <w:i w:val="false"/>
      <w:iCs w:val="false"/>
      <w:caps/>
      <w:strike w:val="false"/>
      <w:dstrike w:val="false"/>
      <w:color w:val="000000"/>
      <w:spacing w:val="0"/>
      <w:kern w:val="0"/>
      <w:position w:val="0"/>
      <w:sz w:val="24"/>
      <w:sz w:val="24"/>
      <w:szCs w:val="24"/>
      <w:u w:val="none" w:color="000000"/>
      <w:vertAlign w:val="baseline"/>
    </w:rPr>
  </w:style>
  <w:style w:type="character" w:styleId="ListLabel34">
    <w:name w:val="ListLabel 34"/>
    <w:qFormat/>
    <w:rPr>
      <w:rFonts w:eastAsia="Times New Roman" w:cs="Times New Roman"/>
      <w:b w:val="false"/>
      <w:bCs w:val="false"/>
      <w:i w:val="false"/>
      <w:iCs w:val="false"/>
      <w:caps/>
      <w:strike w:val="false"/>
      <w:dstrike w:val="false"/>
      <w:color w:val="000000"/>
      <w:spacing w:val="0"/>
      <w:kern w:val="0"/>
      <w:position w:val="0"/>
      <w:sz w:val="24"/>
      <w:sz w:val="24"/>
      <w:szCs w:val="24"/>
      <w:u w:val="none" w:color="000000"/>
      <w:vertAlign w:val="baseline"/>
    </w:rPr>
  </w:style>
  <w:style w:type="character" w:styleId="ListLabel35">
    <w:name w:val="ListLabel 35"/>
    <w:qFormat/>
    <w:rPr>
      <w:rFonts w:eastAsia="Times New Roman" w:cs="Times New Roman"/>
      <w:b w:val="false"/>
      <w:bCs w:val="false"/>
      <w:i w:val="false"/>
      <w:iCs w:val="false"/>
      <w:caps/>
      <w:strike w:val="false"/>
      <w:dstrike w:val="false"/>
      <w:color w:val="000000"/>
      <w:spacing w:val="0"/>
      <w:kern w:val="0"/>
      <w:position w:val="0"/>
      <w:sz w:val="24"/>
      <w:sz w:val="24"/>
      <w:szCs w:val="24"/>
      <w:u w:val="none" w:color="000000"/>
      <w:vertAlign w:val="baseline"/>
    </w:rPr>
  </w:style>
  <w:style w:type="character" w:styleId="ListLabel36">
    <w:name w:val="ListLabel 36"/>
    <w:qFormat/>
    <w:rPr>
      <w:rFonts w:eastAsia="Times New Roman" w:cs="Times New Roman"/>
      <w:b w:val="false"/>
      <w:bCs w:val="false"/>
      <w:i w:val="false"/>
      <w:iCs w:val="false"/>
      <w:caps/>
      <w:strike w:val="false"/>
      <w:dstrike w:val="false"/>
      <w:color w:val="000000"/>
      <w:spacing w:val="0"/>
      <w:kern w:val="0"/>
      <w:position w:val="0"/>
      <w:sz w:val="24"/>
      <w:sz w:val="24"/>
      <w:szCs w:val="24"/>
      <w:u w:val="none" w:color="000000"/>
      <w:vertAlign w:val="baseline"/>
    </w:rPr>
  </w:style>
  <w:style w:type="character" w:styleId="ListLabel37">
    <w:name w:val="ListLabel 37"/>
    <w:qFormat/>
    <w:rPr>
      <w:rFonts w:cs="Times New Roman"/>
    </w:rPr>
  </w:style>
  <w:style w:type="character" w:styleId="ListLabel38">
    <w:name w:val="ListLabel 38"/>
    <w:qFormat/>
    <w:rPr>
      <w:rFonts w:cs="Times New Roman"/>
    </w:rPr>
  </w:style>
  <w:style w:type="character" w:styleId="ListLabel39">
    <w:name w:val="ListLabel 39"/>
    <w:qFormat/>
    <w:rPr>
      <w:lang w:val="ru-RU"/>
    </w:rPr>
  </w:style>
  <w:style w:type="character" w:styleId="ListLabel40">
    <w:name w:val="ListLabel 40"/>
    <w:qFormat/>
    <w:rPr>
      <w:rFonts w:cs="Times New Roman"/>
    </w:rPr>
  </w:style>
  <w:style w:type="character" w:styleId="ListLabel41">
    <w:name w:val="ListLabel 41"/>
    <w:qFormat/>
    <w:rPr>
      <w:lang w:val="ru-RU"/>
    </w:rPr>
  </w:style>
  <w:style w:type="character" w:styleId="Style13">
    <w:name w:val="Ссылка указателя"/>
    <w:qFormat/>
    <w:rPr/>
  </w:style>
  <w:style w:type="character" w:styleId="Style14">
    <w:name w:val="Символ сноски"/>
    <w:qFormat/>
    <w:rPr/>
  </w:style>
  <w:style w:type="character" w:styleId="Style15">
    <w:name w:val="Привязка концевой сноски"/>
    <w:rPr>
      <w:vertAlign w:val="superscript"/>
    </w:rPr>
  </w:style>
  <w:style w:type="character" w:styleId="Style16">
    <w:name w:val="Символ концевой сноски"/>
    <w:qFormat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Noto Sans CJK SC Regular" w:cs="Lohit Devanagari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Lohit Devanagari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ohit Devanagari"/>
    </w:rPr>
  </w:style>
  <w:style w:type="paragraph" w:styleId="Style22">
    <w:name w:val="Header"/>
    <w:basedOn w:val="Normal"/>
    <w:pPr>
      <w:widowControl/>
      <w:tabs>
        <w:tab w:val="center" w:pos="4677" w:leader="none"/>
        <w:tab w:val="right" w:pos="9355" w:leader="none"/>
      </w:tabs>
      <w:bidi w:val="0"/>
      <w:jc w:val="left"/>
    </w:pPr>
    <w:rPr>
      <w:rFonts w:cs="Arial Unicode MS"/>
      <w:color w:val="000000"/>
      <w:sz w:val="24"/>
      <w:szCs w:val="24"/>
      <w:u w:val="none" w:color="000000"/>
    </w:rPr>
  </w:style>
  <w:style w:type="paragraph" w:styleId="Style23">
    <w:name w:val="Footer"/>
    <w:basedOn w:val="Normal"/>
    <w:pPr>
      <w:widowControl/>
      <w:tabs>
        <w:tab w:val="center" w:pos="4677" w:leader="none"/>
        <w:tab w:val="right" w:pos="9355" w:leader="none"/>
      </w:tabs>
      <w:bidi w:val="0"/>
      <w:jc w:val="left"/>
    </w:pPr>
    <w:rPr>
      <w:rFonts w:cs="Arial Unicode MS"/>
      <w:color w:val="000000"/>
      <w:sz w:val="24"/>
      <w:szCs w:val="24"/>
      <w:u w:val="none" w:color="000000"/>
    </w:rPr>
  </w:style>
  <w:style w:type="paragraph" w:styleId="12">
    <w:name w:val="TOC 1"/>
    <w:basedOn w:val="Normal"/>
    <w:uiPriority w:val="39"/>
    <w:pPr>
      <w:widowControl w:val="false"/>
      <w:tabs>
        <w:tab w:val="left" w:pos="480" w:leader="none"/>
        <w:tab w:val="right" w:pos="9433" w:leader="dot"/>
      </w:tabs>
      <w:bidi w:val="0"/>
      <w:spacing w:lineRule="atLeast" w:line="360"/>
      <w:jc w:val="both"/>
    </w:pPr>
    <w:rPr>
      <w:rFonts w:eastAsia="Times New Roman"/>
      <w:caps/>
      <w:color w:val="000000"/>
      <w:sz w:val="24"/>
      <w:szCs w:val="24"/>
      <w:u w:val="none" w:color="000000"/>
    </w:rPr>
  </w:style>
  <w:style w:type="paragraph" w:styleId="22">
    <w:name w:val="TOC 2"/>
    <w:basedOn w:val="Normal"/>
    <w:uiPriority w:val="39"/>
    <w:pPr>
      <w:widowControl w:val="false"/>
      <w:tabs>
        <w:tab w:val="left" w:pos="880" w:leader="none"/>
        <w:tab w:val="right" w:pos="9433" w:leader="dot"/>
      </w:tabs>
      <w:bidi w:val="0"/>
      <w:spacing w:lineRule="atLeast" w:line="360"/>
      <w:ind w:left="240" w:hanging="0"/>
      <w:jc w:val="both"/>
    </w:pPr>
    <w:rPr>
      <w:rFonts w:eastAsia="Times New Roman"/>
      <w:color w:val="000000"/>
      <w:sz w:val="24"/>
      <w:szCs w:val="24"/>
      <w:u w:val="none" w:color="000000"/>
    </w:rPr>
  </w:style>
  <w:style w:type="paragraph" w:styleId="32">
    <w:name w:val="TOC 3"/>
    <w:basedOn w:val="Normal"/>
    <w:uiPriority w:val="39"/>
    <w:pPr>
      <w:widowControl w:val="false"/>
      <w:tabs>
        <w:tab w:val="left" w:pos="1100" w:leader="none"/>
        <w:tab w:val="right" w:pos="9433" w:leader="dot"/>
      </w:tabs>
      <w:bidi w:val="0"/>
      <w:spacing w:lineRule="atLeast" w:line="360"/>
      <w:ind w:left="480" w:hanging="0"/>
      <w:jc w:val="both"/>
    </w:pPr>
    <w:rPr>
      <w:rFonts w:eastAsia="Times New Roman"/>
      <w:color w:val="000000"/>
      <w:sz w:val="24"/>
      <w:szCs w:val="24"/>
      <w:u w:val="none" w:color="000000"/>
    </w:rPr>
  </w:style>
  <w:style w:type="paragraph" w:styleId="Style24">
    <w:name w:val="Содержимое таблицы"/>
    <w:basedOn w:val="Normal"/>
    <w:qFormat/>
    <w:pPr/>
    <w:rPr/>
  </w:style>
  <w:style w:type="paragraph" w:styleId="Style25" w:customStyle="1">
    <w:name w:val="Заголовок таблицы"/>
    <w:basedOn w:val="Normal"/>
    <w:qFormat/>
    <w:pPr>
      <w:keepNext w:val="true"/>
      <w:widowControl/>
      <w:bidi w:val="0"/>
      <w:spacing w:before="120" w:after="120"/>
      <w:jc w:val="center"/>
    </w:pPr>
    <w:rPr>
      <w:rFonts w:ascii="Arial Unicode MS" w:hAnsi="Arial Unicode MS" w:cs="Arial Unicode MS"/>
      <w:b/>
      <w:bCs/>
      <w:color w:val="000000"/>
      <w:sz w:val="24"/>
      <w:szCs w:val="24"/>
      <w:u w:val="none" w:color="000000"/>
    </w:rPr>
  </w:style>
  <w:style w:type="paragraph" w:styleId="ListParagraph">
    <w:name w:val="List Paragraph"/>
    <w:basedOn w:val="Normal"/>
    <w:uiPriority w:val="34"/>
    <w:qFormat/>
    <w:rsid w:val="00336992"/>
    <w:pPr>
      <w:spacing w:before="0" w:after="0"/>
      <w:ind w:left="720" w:hanging="0"/>
      <w:contextualSpacing/>
    </w:pPr>
    <w:rPr/>
  </w:style>
  <w:style w:type="paragraph" w:styleId="BalloonText">
    <w:name w:val="Balloon Text"/>
    <w:basedOn w:val="Normal"/>
    <w:link w:val="a9"/>
    <w:uiPriority w:val="99"/>
    <w:semiHidden/>
    <w:unhideWhenUsed/>
    <w:qFormat/>
    <w:rsid w:val="0096243a"/>
    <w:pPr/>
    <w:rPr>
      <w:rFonts w:ascii="Tahoma" w:hAnsi="Tahoma" w:cs="Tahoma"/>
      <w:sz w:val="16"/>
      <w:szCs w:val="16"/>
    </w:rPr>
  </w:style>
  <w:style w:type="paragraph" w:styleId="Style26">
    <w:name w:val="Body Text Indent"/>
    <w:basedOn w:val="Normal"/>
    <w:link w:val="ab"/>
    <w:rsid w:val="008f374e"/>
    <w:pPr>
      <w:pBdr/>
      <w:spacing w:before="0" w:after="120"/>
      <w:ind w:left="283" w:firstLine="709"/>
      <w:jc w:val="both"/>
    </w:pPr>
    <w:rPr>
      <w:rFonts w:eastAsia="Times New Roman" w:cs="Times New Roman"/>
    </w:rPr>
  </w:style>
  <w:style w:type="paragraph" w:styleId="13" w:customStyle="1">
    <w:name w:val="Абзац списка1"/>
    <w:basedOn w:val="Normal"/>
    <w:qFormat/>
    <w:locked/>
    <w:rsid w:val="005c73ce"/>
    <w:pPr>
      <w:widowControl w:val="false"/>
      <w:pBdr/>
      <w:spacing w:lineRule="atLeast" w:line="360"/>
      <w:ind w:left="720" w:hanging="0"/>
      <w:jc w:val="both"/>
      <w:textAlignment w:val="baseline"/>
    </w:pPr>
    <w:rPr>
      <w:rFonts w:eastAsia="Times New Roman" w:cs="Times New Roman"/>
    </w:rPr>
  </w:style>
  <w:style w:type="paragraph" w:styleId="Style27">
    <w:name w:val="Footnote Text"/>
    <w:basedOn w:val="Normal"/>
    <w:link w:val="ae"/>
    <w:uiPriority w:val="99"/>
    <w:semiHidden/>
    <w:unhideWhenUsed/>
    <w:rsid w:val="00433a9c"/>
    <w:pPr/>
    <w:rPr>
      <w:sz w:val="20"/>
      <w:szCs w:val="20"/>
    </w:rPr>
  </w:style>
  <w:style w:type="paragraph" w:styleId="33" w:customStyle="1">
    <w:name w:val="_Заголовок 3"/>
    <w:qFormat/>
    <w:rsid w:val="00d57f78"/>
    <w:pPr>
      <w:keepNext w:val="true"/>
      <w:widowControl w:val="false"/>
      <w:bidi w:val="0"/>
      <w:spacing w:lineRule="atLeast" w:line="360" w:before="120" w:after="120"/>
      <w:jc w:val="both"/>
      <w:outlineLvl w:val="2"/>
    </w:pPr>
    <w:rPr>
      <w:rFonts w:eastAsia="Times New Roman" w:ascii="Times New Roman" w:hAnsi="Times New Roman" w:cs="Times New Roman"/>
      <w:b/>
      <w:bCs/>
      <w:color w:val="000000"/>
      <w:kern w:val="0"/>
      <w:sz w:val="28"/>
      <w:szCs w:val="28"/>
      <w:u w:val="none" w:color="000000"/>
      <w:lang w:val="ru-RU" w:eastAsia="ru-RU" w:bidi="ar-SA"/>
    </w:rPr>
  </w:style>
  <w:style w:type="paragraph" w:styleId="Style28" w:customStyle="1">
    <w:name w:val="_Заголовок таблицы"/>
    <w:qFormat/>
    <w:rsid w:val="00d57f78"/>
    <w:pPr>
      <w:keepNext w:val="true"/>
      <w:widowControl/>
      <w:bidi w:val="0"/>
      <w:spacing w:before="120" w:after="120"/>
      <w:jc w:val="center"/>
    </w:pPr>
    <w:rPr>
      <w:rFonts w:ascii="Arial Unicode MS" w:hAnsi="Arial Unicode MS" w:cs="Arial Unicode MS" w:eastAsia="Arial Unicode MS"/>
      <w:b/>
      <w:bCs/>
      <w:color w:val="000000"/>
      <w:kern w:val="0"/>
      <w:sz w:val="24"/>
      <w:szCs w:val="24"/>
      <w:u w:val="none" w:color="00000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numbering" w:styleId="List0" w:customStyle="1">
    <w:name w:val="List 0"/>
    <w:qFormat/>
  </w:style>
  <w:style w:type="numbering" w:styleId="34" w:customStyle="1">
    <w:name w:val="Импортированный стиль 3"/>
    <w:qFormat/>
  </w:style>
  <w:style w:type="numbering" w:styleId="14" w:customStyle="1">
    <w:name w:val="Маркированный список 1"/>
    <w:qFormat/>
  </w:style>
  <w:style w:type="numbering" w:styleId="211" w:customStyle="1">
    <w:name w:val="Список 21"/>
    <w:qFormat/>
  </w:style>
  <w:style w:type="numbering" w:styleId="52" w:customStyle="1">
    <w:name w:val="Импортированный стиль 5"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c">
    <w:name w:val="Table Grid"/>
    <w:basedOn w:val="a1"/>
    <w:uiPriority w:val="59"/>
    <w:rsid w:val="002644e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F544E-EFF6-4C8E-8475-160772F76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Application>LibreOffice/6.0.3.2$Linux_X86_64 LibreOffice_project/00m0$Build-2</Application>
  <Pages>19</Pages>
  <Words>2702</Words>
  <Characters>29665</Characters>
  <CharactersWithSpaces>35190</CharactersWithSpaces>
  <Paragraphs>878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2016-05-26T08:14:00Z</dcterms:created>
  <dc:creator>Свечников</dc:creator>
  <dc:description/>
  <dc:language>ru-RU</dc:language>
  <cp:lastModifiedBy/>
  <cp:lastPrinted>2015-10-08T06:36:00Z</cp:lastPrinted>
  <dcterms:modified xsi:type="dcterms:W3CDTF">2018-05-30T12:24:02Z</dcterms:modified>
  <cp:revision>23</cp:revision>
  <dc:subject>БС</dc:subject>
  <dc:title>руководство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